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90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560"/>
        <w:gridCol w:w="11346"/>
      </w:tblGrid>
      <w:tr w:rsidR="00C53F10" w14:paraId="769185F9" w14:textId="77777777">
        <w:trPr>
          <w:trHeight w:hRule="exact" w:val="15600"/>
        </w:trPr>
        <w:tc>
          <w:tcPr>
            <w:tcW w:w="560" w:type="dxa"/>
            <w:tcBorders>
              <w:top w:val="none" w:sz="0" w:space="0" w:color="FFFFFF"/>
              <w:left w:val="none" w:sz="0" w:space="0" w:color="FFFFFF"/>
              <w:bottom w:val="none" w:sz="0" w:space="0" w:color="FFFFFF"/>
              <w:right w:val="none" w:sz="0" w:space="0" w:color="FFFFFF"/>
            </w:tcBorders>
            <w:shd w:val="clear" w:color="auto" w:fill="E36C09"/>
          </w:tcPr>
          <w:p w14:paraId="1CB6BFF3" w14:textId="77777777" w:rsidR="00C53F10" w:rsidRDefault="00C53F10"/>
        </w:tc>
        <w:tc>
          <w:tcPr>
            <w:tcW w:w="11346" w:type="dxa"/>
            <w:tcBorders>
              <w:top w:val="none" w:sz="0" w:space="0" w:color="FFFFFF"/>
              <w:left w:val="none" w:sz="0" w:space="0" w:color="FFFFFF"/>
              <w:bottom w:val="none" w:sz="0" w:space="0" w:color="FFFFFF"/>
              <w:right w:val="none" w:sz="0" w:space="0" w:color="FFFFFF"/>
            </w:tcBorders>
            <w:tcMar>
              <w:left w:w="900" w:type="dxa"/>
              <w:right w:w="1000" w:type="dxa"/>
            </w:tcMar>
          </w:tcPr>
          <w:p w14:paraId="29EE9223" w14:textId="77777777" w:rsidR="00C53F10" w:rsidRDefault="003D679F">
            <w:pPr>
              <w:spacing w:before="5600" w:after="200"/>
            </w:pPr>
            <w:r>
              <w:rPr>
                <w:smallCaps/>
                <w:color w:val="C0392B"/>
                <w:sz w:val="48"/>
                <w:szCs w:val="48"/>
              </w:rPr>
              <w:t>Ville de Massy</w:t>
            </w:r>
          </w:p>
          <w:p w14:paraId="40691FC8" w14:textId="77777777" w:rsidR="00C53F10" w:rsidRDefault="003D679F">
            <w:pPr>
              <w:spacing w:after="400"/>
            </w:pPr>
            <w:r>
              <w:rPr>
                <w:color w:val="17375E"/>
                <w:sz w:val="30"/>
                <w:szCs w:val="30"/>
              </w:rPr>
              <w:t>CONCESSION DE SERVICE PUBLIC POUR L’EXPLOITATION DU MULTI-ACCUEIL DE VILGÉNIS (45 PLACES)</w:t>
            </w:r>
          </w:p>
          <w:p w14:paraId="1BF5180C" w14:textId="77777777" w:rsidR="00C53F10" w:rsidRDefault="003D679F">
            <w:pPr>
              <w:spacing w:after="120"/>
              <w:ind w:left="400"/>
            </w:pPr>
            <w:r>
              <w:rPr>
                <w:b/>
                <w:bCs/>
                <w:color w:val="595959"/>
                <w:sz w:val="24"/>
                <w:szCs w:val="24"/>
              </w:rPr>
              <w:t>Règlement de consultation</w:t>
            </w:r>
          </w:p>
          <w:p w14:paraId="1C95F926" w14:textId="77777777" w:rsidR="00E44BA7" w:rsidRDefault="00E44BA7">
            <w:pPr>
              <w:ind w:left="400"/>
              <w:rPr>
                <w:b/>
                <w:bCs/>
                <w:i/>
                <w:iCs/>
                <w:color w:val="595959"/>
                <w:sz w:val="24"/>
                <w:szCs w:val="24"/>
              </w:rPr>
            </w:pPr>
          </w:p>
          <w:p w14:paraId="214AC070" w14:textId="77777777" w:rsidR="00E44BA7" w:rsidRDefault="00E44BA7">
            <w:pPr>
              <w:ind w:left="400"/>
              <w:rPr>
                <w:b/>
                <w:bCs/>
                <w:i/>
                <w:iCs/>
                <w:color w:val="595959"/>
                <w:sz w:val="24"/>
                <w:szCs w:val="24"/>
              </w:rPr>
            </w:pPr>
          </w:p>
          <w:p w14:paraId="643C40DF" w14:textId="4083F495" w:rsidR="00C53F10" w:rsidRDefault="003D679F">
            <w:pPr>
              <w:ind w:left="400"/>
            </w:pPr>
            <w:r>
              <w:rPr>
                <w:color w:val="595959"/>
                <w:sz w:val="22"/>
                <w:szCs w:val="22"/>
              </w:rPr>
              <w:t xml:space="preserve">Date limite de remise des candidatures et des offres </w:t>
            </w:r>
            <w:r w:rsidRPr="00393D39">
              <w:rPr>
                <w:color w:val="595959"/>
                <w:sz w:val="22"/>
                <w:szCs w:val="22"/>
              </w:rPr>
              <w:t xml:space="preserve">: </w:t>
            </w:r>
            <w:r w:rsidR="004F5752" w:rsidRPr="00393D39">
              <w:rPr>
                <w:color w:val="595959"/>
                <w:sz w:val="22"/>
                <w:szCs w:val="22"/>
              </w:rPr>
              <w:t xml:space="preserve">le </w:t>
            </w:r>
            <w:r w:rsidR="000F57C1" w:rsidRPr="00393D39">
              <w:rPr>
                <w:color w:val="595959"/>
                <w:sz w:val="22"/>
                <w:szCs w:val="22"/>
              </w:rPr>
              <w:t xml:space="preserve">16 </w:t>
            </w:r>
            <w:r w:rsidR="000F57C1" w:rsidRPr="000E173A">
              <w:rPr>
                <w:color w:val="595959"/>
                <w:sz w:val="22"/>
                <w:szCs w:val="22"/>
              </w:rPr>
              <w:t>novembre</w:t>
            </w:r>
            <w:r w:rsidR="000E173A" w:rsidRPr="000E173A">
              <w:rPr>
                <w:color w:val="595959"/>
                <w:sz w:val="22"/>
                <w:szCs w:val="22"/>
              </w:rPr>
              <w:t xml:space="preserve"> </w:t>
            </w:r>
            <w:r>
              <w:rPr>
                <w:color w:val="595959"/>
                <w:sz w:val="22"/>
                <w:szCs w:val="22"/>
              </w:rPr>
              <w:t>2026</w:t>
            </w:r>
          </w:p>
        </w:tc>
      </w:tr>
    </w:tbl>
    <w:p w14:paraId="47CD8EED" w14:textId="77777777" w:rsidR="00C53F10" w:rsidRDefault="00C53F10">
      <w:pPr>
        <w:sectPr w:rsidR="00C53F10">
          <w:pgSz w:w="11906" w:h="16838"/>
          <w:pgMar w:top="500" w:right="0" w:bottom="0" w:left="0" w:header="0" w:footer="0" w:gutter="0"/>
          <w:cols w:space="720"/>
          <w:docGrid w:linePitch="360"/>
        </w:sectPr>
      </w:pPr>
    </w:p>
    <w:p w14:paraId="33F10279" w14:textId="77777777" w:rsidR="00C53F10" w:rsidRDefault="003D679F">
      <w:pPr>
        <w:pStyle w:val="TitreSommaire"/>
      </w:pPr>
      <w:r>
        <w:lastRenderedPageBreak/>
        <w:t>Sommaire</w:t>
      </w:r>
    </w:p>
    <w:sdt>
      <w:sdtPr>
        <w:rPr>
          <w:b w:val="0"/>
          <w:bCs w:val="0"/>
        </w:rPr>
        <w:alias w:val="Sommaire"/>
        <w:id w:val="-1855725936"/>
      </w:sdtPr>
      <w:sdtEndPr/>
      <w:sdtContent>
        <w:p w14:paraId="297DA8B6" w14:textId="112BB5C6" w:rsidR="007E00B6" w:rsidRDefault="003D679F">
          <w:pPr>
            <w:pStyle w:val="TM1"/>
            <w:tabs>
              <w:tab w:val="right" w:leader="dot" w:pos="9296"/>
            </w:tabs>
            <w:rPr>
              <w:rFonts w:asciiTheme="minorHAnsi" w:eastAsiaTheme="minorEastAsia" w:hAnsiTheme="minorHAnsi" w:cstheme="minorBidi"/>
              <w:b w:val="0"/>
              <w:bCs w:val="0"/>
              <w:noProof/>
              <w:sz w:val="22"/>
              <w:szCs w:val="22"/>
            </w:rPr>
          </w:pPr>
          <w:r>
            <w:fldChar w:fldCharType="begin"/>
          </w:r>
          <w:r>
            <w:instrText>TOC \h \o "1-2"</w:instrText>
          </w:r>
          <w:r>
            <w:fldChar w:fldCharType="separate"/>
          </w:r>
          <w:hyperlink w:anchor="_Toc242191468" w:history="1">
            <w:r w:rsidR="007E00B6" w:rsidRPr="00E735BA">
              <w:rPr>
                <w:rStyle w:val="Lienhypertexte"/>
                <w:noProof/>
              </w:rPr>
              <w:t>1. Objet et mise en œuvre de la consultation</w:t>
            </w:r>
            <w:r w:rsidR="007E00B6">
              <w:rPr>
                <w:noProof/>
              </w:rPr>
              <w:tab/>
            </w:r>
            <w:r w:rsidR="007E00B6">
              <w:rPr>
                <w:noProof/>
              </w:rPr>
              <w:fldChar w:fldCharType="begin"/>
            </w:r>
            <w:r w:rsidR="007E00B6">
              <w:rPr>
                <w:noProof/>
              </w:rPr>
              <w:instrText xml:space="preserve"> PAGEREF _Toc242191468 \h </w:instrText>
            </w:r>
            <w:r w:rsidR="007E00B6">
              <w:rPr>
                <w:noProof/>
              </w:rPr>
            </w:r>
            <w:r w:rsidR="007E00B6">
              <w:rPr>
                <w:noProof/>
              </w:rPr>
              <w:fldChar w:fldCharType="separate"/>
            </w:r>
            <w:r w:rsidR="007E00B6">
              <w:rPr>
                <w:noProof/>
              </w:rPr>
              <w:t>3</w:t>
            </w:r>
            <w:r w:rsidR="007E00B6">
              <w:rPr>
                <w:noProof/>
              </w:rPr>
              <w:fldChar w:fldCharType="end"/>
            </w:r>
          </w:hyperlink>
        </w:p>
        <w:p w14:paraId="54BE0809" w14:textId="0E0D46DA"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69" w:history="1">
            <w:r w:rsidR="007E00B6" w:rsidRPr="00E735BA">
              <w:rPr>
                <w:rStyle w:val="Lienhypertexte"/>
                <w:noProof/>
              </w:rPr>
              <w:t>1.1. Objet de la consultation</w:t>
            </w:r>
            <w:r w:rsidR="007E00B6">
              <w:rPr>
                <w:noProof/>
              </w:rPr>
              <w:tab/>
            </w:r>
            <w:r w:rsidR="007E00B6">
              <w:rPr>
                <w:noProof/>
              </w:rPr>
              <w:fldChar w:fldCharType="begin"/>
            </w:r>
            <w:r w:rsidR="007E00B6">
              <w:rPr>
                <w:noProof/>
              </w:rPr>
              <w:instrText xml:space="preserve"> PAGEREF _Toc242191469 \h </w:instrText>
            </w:r>
            <w:r w:rsidR="007E00B6">
              <w:rPr>
                <w:noProof/>
              </w:rPr>
            </w:r>
            <w:r w:rsidR="007E00B6">
              <w:rPr>
                <w:noProof/>
              </w:rPr>
              <w:fldChar w:fldCharType="separate"/>
            </w:r>
            <w:r w:rsidR="007E00B6">
              <w:rPr>
                <w:noProof/>
              </w:rPr>
              <w:t>3</w:t>
            </w:r>
            <w:r w:rsidR="007E00B6">
              <w:rPr>
                <w:noProof/>
              </w:rPr>
              <w:fldChar w:fldCharType="end"/>
            </w:r>
          </w:hyperlink>
        </w:p>
        <w:p w14:paraId="19472AC5" w14:textId="00DF5159"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70" w:history="1">
            <w:r w:rsidR="007E00B6" w:rsidRPr="00E735BA">
              <w:rPr>
                <w:rStyle w:val="Lienhypertexte"/>
                <w:noProof/>
              </w:rPr>
              <w:t>1.2. Fondement juridique de la procédure</w:t>
            </w:r>
            <w:r w:rsidR="007E00B6">
              <w:rPr>
                <w:noProof/>
              </w:rPr>
              <w:tab/>
            </w:r>
            <w:r w:rsidR="007E00B6">
              <w:rPr>
                <w:noProof/>
              </w:rPr>
              <w:fldChar w:fldCharType="begin"/>
            </w:r>
            <w:r w:rsidR="007E00B6">
              <w:rPr>
                <w:noProof/>
              </w:rPr>
              <w:instrText xml:space="preserve"> PAGEREF _Toc242191470 \h </w:instrText>
            </w:r>
            <w:r w:rsidR="007E00B6">
              <w:rPr>
                <w:noProof/>
              </w:rPr>
            </w:r>
            <w:r w:rsidR="007E00B6">
              <w:rPr>
                <w:noProof/>
              </w:rPr>
              <w:fldChar w:fldCharType="separate"/>
            </w:r>
            <w:r w:rsidR="007E00B6">
              <w:rPr>
                <w:noProof/>
              </w:rPr>
              <w:t>3</w:t>
            </w:r>
            <w:r w:rsidR="007E00B6">
              <w:rPr>
                <w:noProof/>
              </w:rPr>
              <w:fldChar w:fldCharType="end"/>
            </w:r>
          </w:hyperlink>
        </w:p>
        <w:p w14:paraId="5A4097D0" w14:textId="1CE30DED"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71" w:history="1">
            <w:r w:rsidR="007E00B6" w:rsidRPr="00E735BA">
              <w:rPr>
                <w:rStyle w:val="Lienhypertexte"/>
                <w:noProof/>
              </w:rPr>
              <w:t>1.3. Décomposition de la consultation</w:t>
            </w:r>
            <w:r w:rsidR="007E00B6">
              <w:rPr>
                <w:noProof/>
              </w:rPr>
              <w:tab/>
            </w:r>
            <w:r w:rsidR="007E00B6">
              <w:rPr>
                <w:noProof/>
              </w:rPr>
              <w:fldChar w:fldCharType="begin"/>
            </w:r>
            <w:r w:rsidR="007E00B6">
              <w:rPr>
                <w:noProof/>
              </w:rPr>
              <w:instrText xml:space="preserve"> PAGEREF _Toc242191471 \h </w:instrText>
            </w:r>
            <w:r w:rsidR="007E00B6">
              <w:rPr>
                <w:noProof/>
              </w:rPr>
            </w:r>
            <w:r w:rsidR="007E00B6">
              <w:rPr>
                <w:noProof/>
              </w:rPr>
              <w:fldChar w:fldCharType="separate"/>
            </w:r>
            <w:r w:rsidR="007E00B6">
              <w:rPr>
                <w:noProof/>
              </w:rPr>
              <w:t>4</w:t>
            </w:r>
            <w:r w:rsidR="007E00B6">
              <w:rPr>
                <w:noProof/>
              </w:rPr>
              <w:fldChar w:fldCharType="end"/>
            </w:r>
          </w:hyperlink>
        </w:p>
        <w:p w14:paraId="7B0CF501" w14:textId="1CF41646"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72" w:history="1">
            <w:r w:rsidR="007E00B6" w:rsidRPr="00E735BA">
              <w:rPr>
                <w:rStyle w:val="Lienhypertexte"/>
                <w:noProof/>
              </w:rPr>
              <w:t>1.4. Conditions de participation des candidats</w:t>
            </w:r>
            <w:r w:rsidR="007E00B6">
              <w:rPr>
                <w:noProof/>
              </w:rPr>
              <w:tab/>
            </w:r>
            <w:r w:rsidR="007E00B6">
              <w:rPr>
                <w:noProof/>
              </w:rPr>
              <w:fldChar w:fldCharType="begin"/>
            </w:r>
            <w:r w:rsidR="007E00B6">
              <w:rPr>
                <w:noProof/>
              </w:rPr>
              <w:instrText xml:space="preserve"> PAGEREF _Toc242191472 \h </w:instrText>
            </w:r>
            <w:r w:rsidR="007E00B6">
              <w:rPr>
                <w:noProof/>
              </w:rPr>
            </w:r>
            <w:r w:rsidR="007E00B6">
              <w:rPr>
                <w:noProof/>
              </w:rPr>
              <w:fldChar w:fldCharType="separate"/>
            </w:r>
            <w:r w:rsidR="007E00B6">
              <w:rPr>
                <w:noProof/>
              </w:rPr>
              <w:t>4</w:t>
            </w:r>
            <w:r w:rsidR="007E00B6">
              <w:rPr>
                <w:noProof/>
              </w:rPr>
              <w:fldChar w:fldCharType="end"/>
            </w:r>
          </w:hyperlink>
        </w:p>
        <w:p w14:paraId="3B201D87" w14:textId="484F2374"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73" w:history="1">
            <w:r w:rsidR="007E00B6" w:rsidRPr="00E735BA">
              <w:rPr>
                <w:rStyle w:val="Lienhypertexte"/>
                <w:noProof/>
              </w:rPr>
              <w:t>1.5. Délais de consultation</w:t>
            </w:r>
            <w:r w:rsidR="007E00B6">
              <w:rPr>
                <w:noProof/>
              </w:rPr>
              <w:tab/>
            </w:r>
            <w:r w:rsidR="007E00B6">
              <w:rPr>
                <w:noProof/>
              </w:rPr>
              <w:fldChar w:fldCharType="begin"/>
            </w:r>
            <w:r w:rsidR="007E00B6">
              <w:rPr>
                <w:noProof/>
              </w:rPr>
              <w:instrText xml:space="preserve"> PAGEREF _Toc242191473 \h </w:instrText>
            </w:r>
            <w:r w:rsidR="007E00B6">
              <w:rPr>
                <w:noProof/>
              </w:rPr>
            </w:r>
            <w:r w:rsidR="007E00B6">
              <w:rPr>
                <w:noProof/>
              </w:rPr>
              <w:fldChar w:fldCharType="separate"/>
            </w:r>
            <w:r w:rsidR="007E00B6">
              <w:rPr>
                <w:noProof/>
              </w:rPr>
              <w:t>4</w:t>
            </w:r>
            <w:r w:rsidR="007E00B6">
              <w:rPr>
                <w:noProof/>
              </w:rPr>
              <w:fldChar w:fldCharType="end"/>
            </w:r>
          </w:hyperlink>
        </w:p>
        <w:p w14:paraId="5A1988C0" w14:textId="413BCB45"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74" w:history="1">
            <w:r w:rsidR="007E00B6" w:rsidRPr="00E735BA">
              <w:rPr>
                <w:rStyle w:val="Lienhypertexte"/>
                <w:noProof/>
              </w:rPr>
              <w:t>1.6. Durée de la concession</w:t>
            </w:r>
            <w:r w:rsidR="007E00B6">
              <w:rPr>
                <w:noProof/>
              </w:rPr>
              <w:tab/>
            </w:r>
            <w:r w:rsidR="007E00B6">
              <w:rPr>
                <w:noProof/>
              </w:rPr>
              <w:fldChar w:fldCharType="begin"/>
            </w:r>
            <w:r w:rsidR="007E00B6">
              <w:rPr>
                <w:noProof/>
              </w:rPr>
              <w:instrText xml:space="preserve"> PAGEREF _Toc242191474 \h </w:instrText>
            </w:r>
            <w:r w:rsidR="007E00B6">
              <w:rPr>
                <w:noProof/>
              </w:rPr>
            </w:r>
            <w:r w:rsidR="007E00B6">
              <w:rPr>
                <w:noProof/>
              </w:rPr>
              <w:fldChar w:fldCharType="separate"/>
            </w:r>
            <w:r w:rsidR="007E00B6">
              <w:rPr>
                <w:noProof/>
              </w:rPr>
              <w:t>4</w:t>
            </w:r>
            <w:r w:rsidR="007E00B6">
              <w:rPr>
                <w:noProof/>
              </w:rPr>
              <w:fldChar w:fldCharType="end"/>
            </w:r>
          </w:hyperlink>
        </w:p>
        <w:p w14:paraId="20A01D3F" w14:textId="0FFA8ED4"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75" w:history="1">
            <w:r w:rsidR="007E00B6" w:rsidRPr="00E735BA">
              <w:rPr>
                <w:rStyle w:val="Lienhypertexte"/>
                <w:noProof/>
              </w:rPr>
              <w:t>1.7. Valeur estimée de la concession</w:t>
            </w:r>
            <w:r w:rsidR="007E00B6">
              <w:rPr>
                <w:noProof/>
              </w:rPr>
              <w:tab/>
            </w:r>
            <w:r w:rsidR="007E00B6">
              <w:rPr>
                <w:noProof/>
              </w:rPr>
              <w:fldChar w:fldCharType="begin"/>
            </w:r>
            <w:r w:rsidR="007E00B6">
              <w:rPr>
                <w:noProof/>
              </w:rPr>
              <w:instrText xml:space="preserve"> PAGEREF _Toc242191475 \h </w:instrText>
            </w:r>
            <w:r w:rsidR="007E00B6">
              <w:rPr>
                <w:noProof/>
              </w:rPr>
            </w:r>
            <w:r w:rsidR="007E00B6">
              <w:rPr>
                <w:noProof/>
              </w:rPr>
              <w:fldChar w:fldCharType="separate"/>
            </w:r>
            <w:r w:rsidR="007E00B6">
              <w:rPr>
                <w:noProof/>
              </w:rPr>
              <w:t>4</w:t>
            </w:r>
            <w:r w:rsidR="007E00B6">
              <w:rPr>
                <w:noProof/>
              </w:rPr>
              <w:fldChar w:fldCharType="end"/>
            </w:r>
          </w:hyperlink>
        </w:p>
        <w:p w14:paraId="398EB827" w14:textId="59A25FE8"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76" w:history="1">
            <w:r w:rsidR="007E00B6" w:rsidRPr="00E735BA">
              <w:rPr>
                <w:rStyle w:val="Lienhypertexte"/>
                <w:noProof/>
              </w:rPr>
              <w:t>1.8. Délai de validité des offres</w:t>
            </w:r>
            <w:r w:rsidR="007E00B6">
              <w:rPr>
                <w:noProof/>
              </w:rPr>
              <w:tab/>
            </w:r>
            <w:r w:rsidR="007E00B6">
              <w:rPr>
                <w:noProof/>
              </w:rPr>
              <w:fldChar w:fldCharType="begin"/>
            </w:r>
            <w:r w:rsidR="007E00B6">
              <w:rPr>
                <w:noProof/>
              </w:rPr>
              <w:instrText xml:space="preserve"> PAGEREF _Toc242191476 \h </w:instrText>
            </w:r>
            <w:r w:rsidR="007E00B6">
              <w:rPr>
                <w:noProof/>
              </w:rPr>
            </w:r>
            <w:r w:rsidR="007E00B6">
              <w:rPr>
                <w:noProof/>
              </w:rPr>
              <w:fldChar w:fldCharType="separate"/>
            </w:r>
            <w:r w:rsidR="007E00B6">
              <w:rPr>
                <w:noProof/>
              </w:rPr>
              <w:t>4</w:t>
            </w:r>
            <w:r w:rsidR="007E00B6">
              <w:rPr>
                <w:noProof/>
              </w:rPr>
              <w:fldChar w:fldCharType="end"/>
            </w:r>
          </w:hyperlink>
        </w:p>
        <w:p w14:paraId="333B87D6" w14:textId="3C32C28B"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77" w:history="1">
            <w:r w:rsidR="007E00B6" w:rsidRPr="00E735BA">
              <w:rPr>
                <w:rStyle w:val="Lienhypertexte"/>
                <w:noProof/>
              </w:rPr>
              <w:t>1.9. Modes de rémunération</w:t>
            </w:r>
            <w:r w:rsidR="007E00B6">
              <w:rPr>
                <w:noProof/>
              </w:rPr>
              <w:tab/>
            </w:r>
            <w:r w:rsidR="007E00B6">
              <w:rPr>
                <w:noProof/>
              </w:rPr>
              <w:fldChar w:fldCharType="begin"/>
            </w:r>
            <w:r w:rsidR="007E00B6">
              <w:rPr>
                <w:noProof/>
              </w:rPr>
              <w:instrText xml:space="preserve"> PAGEREF _Toc242191477 \h </w:instrText>
            </w:r>
            <w:r w:rsidR="007E00B6">
              <w:rPr>
                <w:noProof/>
              </w:rPr>
            </w:r>
            <w:r w:rsidR="007E00B6">
              <w:rPr>
                <w:noProof/>
              </w:rPr>
              <w:fldChar w:fldCharType="separate"/>
            </w:r>
            <w:r w:rsidR="007E00B6">
              <w:rPr>
                <w:noProof/>
              </w:rPr>
              <w:t>4</w:t>
            </w:r>
            <w:r w:rsidR="007E00B6">
              <w:rPr>
                <w:noProof/>
              </w:rPr>
              <w:fldChar w:fldCharType="end"/>
            </w:r>
          </w:hyperlink>
        </w:p>
        <w:p w14:paraId="0DD6E427" w14:textId="1E809917"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78" w:history="1">
            <w:r w:rsidR="007E00B6" w:rsidRPr="00E735BA">
              <w:rPr>
                <w:rStyle w:val="Lienhypertexte"/>
                <w:noProof/>
              </w:rPr>
              <w:t>1.10. Informations relatives au personnel affecté au service</w:t>
            </w:r>
            <w:r w:rsidR="007E00B6">
              <w:rPr>
                <w:noProof/>
              </w:rPr>
              <w:tab/>
            </w:r>
            <w:r w:rsidR="007E00B6">
              <w:rPr>
                <w:noProof/>
              </w:rPr>
              <w:fldChar w:fldCharType="begin"/>
            </w:r>
            <w:r w:rsidR="007E00B6">
              <w:rPr>
                <w:noProof/>
              </w:rPr>
              <w:instrText xml:space="preserve"> PAGEREF _Toc242191478 \h </w:instrText>
            </w:r>
            <w:r w:rsidR="007E00B6">
              <w:rPr>
                <w:noProof/>
              </w:rPr>
            </w:r>
            <w:r w:rsidR="007E00B6">
              <w:rPr>
                <w:noProof/>
              </w:rPr>
              <w:fldChar w:fldCharType="separate"/>
            </w:r>
            <w:r w:rsidR="007E00B6">
              <w:rPr>
                <w:noProof/>
              </w:rPr>
              <w:t>5</w:t>
            </w:r>
            <w:r w:rsidR="007E00B6">
              <w:rPr>
                <w:noProof/>
              </w:rPr>
              <w:fldChar w:fldCharType="end"/>
            </w:r>
          </w:hyperlink>
        </w:p>
        <w:p w14:paraId="07FB639E" w14:textId="7747D7ED"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79" w:history="1">
            <w:r w:rsidR="007E00B6" w:rsidRPr="00E735BA">
              <w:rPr>
                <w:rStyle w:val="Lienhypertexte"/>
                <w:noProof/>
              </w:rPr>
              <w:t>1.11. Contenu du dossier de consultation</w:t>
            </w:r>
            <w:r w:rsidR="007E00B6">
              <w:rPr>
                <w:noProof/>
              </w:rPr>
              <w:tab/>
            </w:r>
            <w:r w:rsidR="007E00B6">
              <w:rPr>
                <w:noProof/>
              </w:rPr>
              <w:fldChar w:fldCharType="begin"/>
            </w:r>
            <w:r w:rsidR="007E00B6">
              <w:rPr>
                <w:noProof/>
              </w:rPr>
              <w:instrText xml:space="preserve"> PAGEREF _Toc242191479 \h </w:instrText>
            </w:r>
            <w:r w:rsidR="007E00B6">
              <w:rPr>
                <w:noProof/>
              </w:rPr>
            </w:r>
            <w:r w:rsidR="007E00B6">
              <w:rPr>
                <w:noProof/>
              </w:rPr>
              <w:fldChar w:fldCharType="separate"/>
            </w:r>
            <w:r w:rsidR="007E00B6">
              <w:rPr>
                <w:noProof/>
              </w:rPr>
              <w:t>5</w:t>
            </w:r>
            <w:r w:rsidR="007E00B6">
              <w:rPr>
                <w:noProof/>
              </w:rPr>
              <w:fldChar w:fldCharType="end"/>
            </w:r>
          </w:hyperlink>
        </w:p>
        <w:p w14:paraId="522967C2" w14:textId="4AB42579"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80" w:history="1">
            <w:r w:rsidR="007E00B6" w:rsidRPr="00E735BA">
              <w:rPr>
                <w:rStyle w:val="Lienhypertexte"/>
                <w:noProof/>
              </w:rPr>
              <w:t>1.12. Modalités de téléchargement du dossier de consultation des entreprises</w:t>
            </w:r>
            <w:r w:rsidR="007E00B6">
              <w:rPr>
                <w:noProof/>
              </w:rPr>
              <w:tab/>
            </w:r>
            <w:r w:rsidR="007E00B6">
              <w:rPr>
                <w:noProof/>
              </w:rPr>
              <w:fldChar w:fldCharType="begin"/>
            </w:r>
            <w:r w:rsidR="007E00B6">
              <w:rPr>
                <w:noProof/>
              </w:rPr>
              <w:instrText xml:space="preserve"> PAGEREF _Toc242191480 \h </w:instrText>
            </w:r>
            <w:r w:rsidR="007E00B6">
              <w:rPr>
                <w:noProof/>
              </w:rPr>
            </w:r>
            <w:r w:rsidR="007E00B6">
              <w:rPr>
                <w:noProof/>
              </w:rPr>
              <w:fldChar w:fldCharType="separate"/>
            </w:r>
            <w:r w:rsidR="007E00B6">
              <w:rPr>
                <w:noProof/>
              </w:rPr>
              <w:t>6</w:t>
            </w:r>
            <w:r w:rsidR="007E00B6">
              <w:rPr>
                <w:noProof/>
              </w:rPr>
              <w:fldChar w:fldCharType="end"/>
            </w:r>
          </w:hyperlink>
        </w:p>
        <w:p w14:paraId="197E62A2" w14:textId="7774E3E3"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81" w:history="1">
            <w:r w:rsidR="007E00B6" w:rsidRPr="00E735BA">
              <w:rPr>
                <w:rStyle w:val="Lienhypertexte"/>
                <w:noProof/>
              </w:rPr>
              <w:t>1.13. Présentation des candidatures et des offres</w:t>
            </w:r>
            <w:r w:rsidR="007E00B6">
              <w:rPr>
                <w:noProof/>
              </w:rPr>
              <w:tab/>
            </w:r>
            <w:r w:rsidR="007E00B6">
              <w:rPr>
                <w:noProof/>
              </w:rPr>
              <w:fldChar w:fldCharType="begin"/>
            </w:r>
            <w:r w:rsidR="007E00B6">
              <w:rPr>
                <w:noProof/>
              </w:rPr>
              <w:instrText xml:space="preserve"> PAGEREF _Toc242191481 \h </w:instrText>
            </w:r>
            <w:r w:rsidR="007E00B6">
              <w:rPr>
                <w:noProof/>
              </w:rPr>
            </w:r>
            <w:r w:rsidR="007E00B6">
              <w:rPr>
                <w:noProof/>
              </w:rPr>
              <w:fldChar w:fldCharType="separate"/>
            </w:r>
            <w:r w:rsidR="007E00B6">
              <w:rPr>
                <w:noProof/>
              </w:rPr>
              <w:t>6</w:t>
            </w:r>
            <w:r w:rsidR="007E00B6">
              <w:rPr>
                <w:noProof/>
              </w:rPr>
              <w:fldChar w:fldCharType="end"/>
            </w:r>
          </w:hyperlink>
        </w:p>
        <w:p w14:paraId="209A9C92" w14:textId="6E02E9AB" w:rsidR="007E00B6" w:rsidRDefault="005B63A4">
          <w:pPr>
            <w:pStyle w:val="TM1"/>
            <w:tabs>
              <w:tab w:val="right" w:leader="dot" w:pos="9296"/>
            </w:tabs>
            <w:rPr>
              <w:rFonts w:asciiTheme="minorHAnsi" w:eastAsiaTheme="minorEastAsia" w:hAnsiTheme="minorHAnsi" w:cstheme="minorBidi"/>
              <w:b w:val="0"/>
              <w:bCs w:val="0"/>
              <w:noProof/>
              <w:sz w:val="22"/>
              <w:szCs w:val="22"/>
            </w:rPr>
          </w:pPr>
          <w:hyperlink w:anchor="_Toc242191482" w:history="1">
            <w:r w:rsidR="007E00B6" w:rsidRPr="00E735BA">
              <w:rPr>
                <w:rStyle w:val="Lienhypertexte"/>
                <w:noProof/>
              </w:rPr>
              <w:t>2. Sélection des candidatures et jugement des offres</w:t>
            </w:r>
            <w:r w:rsidR="007E00B6">
              <w:rPr>
                <w:noProof/>
              </w:rPr>
              <w:tab/>
            </w:r>
            <w:r w:rsidR="007E00B6">
              <w:rPr>
                <w:noProof/>
              </w:rPr>
              <w:fldChar w:fldCharType="begin"/>
            </w:r>
            <w:r w:rsidR="007E00B6">
              <w:rPr>
                <w:noProof/>
              </w:rPr>
              <w:instrText xml:space="preserve"> PAGEREF _Toc242191482 \h </w:instrText>
            </w:r>
            <w:r w:rsidR="007E00B6">
              <w:rPr>
                <w:noProof/>
              </w:rPr>
            </w:r>
            <w:r w:rsidR="007E00B6">
              <w:rPr>
                <w:noProof/>
              </w:rPr>
              <w:fldChar w:fldCharType="separate"/>
            </w:r>
            <w:r w:rsidR="007E00B6">
              <w:rPr>
                <w:noProof/>
              </w:rPr>
              <w:t>9</w:t>
            </w:r>
            <w:r w:rsidR="007E00B6">
              <w:rPr>
                <w:noProof/>
              </w:rPr>
              <w:fldChar w:fldCharType="end"/>
            </w:r>
          </w:hyperlink>
        </w:p>
        <w:p w14:paraId="3FA286CD" w14:textId="650D11AA"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84" w:history="1">
            <w:r w:rsidR="007E00B6" w:rsidRPr="00E735BA">
              <w:rPr>
                <w:rStyle w:val="Lienhypertexte"/>
                <w:noProof/>
              </w:rPr>
              <w:t>2.1. Critères de sélection des candidatures</w:t>
            </w:r>
            <w:r w:rsidR="007E00B6">
              <w:rPr>
                <w:noProof/>
              </w:rPr>
              <w:tab/>
            </w:r>
            <w:r w:rsidR="007E00B6">
              <w:rPr>
                <w:noProof/>
              </w:rPr>
              <w:fldChar w:fldCharType="begin"/>
            </w:r>
            <w:r w:rsidR="007E00B6">
              <w:rPr>
                <w:noProof/>
              </w:rPr>
              <w:instrText xml:space="preserve"> PAGEREF _Toc242191484 \h </w:instrText>
            </w:r>
            <w:r w:rsidR="007E00B6">
              <w:rPr>
                <w:noProof/>
              </w:rPr>
            </w:r>
            <w:r w:rsidR="007E00B6">
              <w:rPr>
                <w:noProof/>
              </w:rPr>
              <w:fldChar w:fldCharType="separate"/>
            </w:r>
            <w:r w:rsidR="007E00B6">
              <w:rPr>
                <w:noProof/>
              </w:rPr>
              <w:t>9</w:t>
            </w:r>
            <w:r w:rsidR="007E00B6">
              <w:rPr>
                <w:noProof/>
              </w:rPr>
              <w:fldChar w:fldCharType="end"/>
            </w:r>
          </w:hyperlink>
        </w:p>
        <w:p w14:paraId="591A378B" w14:textId="28EE1071"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85" w:history="1">
            <w:r w:rsidR="007E00B6" w:rsidRPr="00E735BA">
              <w:rPr>
                <w:rStyle w:val="Lienhypertexte"/>
                <w:noProof/>
              </w:rPr>
              <w:t>2.2. Critères de jugement des offres</w:t>
            </w:r>
            <w:r w:rsidR="007E00B6">
              <w:rPr>
                <w:noProof/>
              </w:rPr>
              <w:tab/>
            </w:r>
            <w:r w:rsidR="007E00B6">
              <w:rPr>
                <w:noProof/>
              </w:rPr>
              <w:fldChar w:fldCharType="begin"/>
            </w:r>
            <w:r w:rsidR="007E00B6">
              <w:rPr>
                <w:noProof/>
              </w:rPr>
              <w:instrText xml:space="preserve"> PAGEREF _Toc242191485 \h </w:instrText>
            </w:r>
            <w:r w:rsidR="007E00B6">
              <w:rPr>
                <w:noProof/>
              </w:rPr>
            </w:r>
            <w:r w:rsidR="007E00B6">
              <w:rPr>
                <w:noProof/>
              </w:rPr>
              <w:fldChar w:fldCharType="separate"/>
            </w:r>
            <w:r w:rsidR="007E00B6">
              <w:rPr>
                <w:noProof/>
              </w:rPr>
              <w:t>9</w:t>
            </w:r>
            <w:r w:rsidR="007E00B6">
              <w:rPr>
                <w:noProof/>
              </w:rPr>
              <w:fldChar w:fldCharType="end"/>
            </w:r>
          </w:hyperlink>
        </w:p>
        <w:p w14:paraId="5DD1BDDD" w14:textId="7DF23D8F"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86" w:history="1">
            <w:r w:rsidR="007E00B6" w:rsidRPr="00E735BA">
              <w:rPr>
                <w:rStyle w:val="Lienhypertexte"/>
                <w:noProof/>
              </w:rPr>
              <w:t>2.3. Négociation</w:t>
            </w:r>
            <w:r w:rsidR="007E00B6">
              <w:rPr>
                <w:noProof/>
              </w:rPr>
              <w:tab/>
            </w:r>
            <w:r w:rsidR="007E00B6">
              <w:rPr>
                <w:noProof/>
              </w:rPr>
              <w:fldChar w:fldCharType="begin"/>
            </w:r>
            <w:r w:rsidR="007E00B6">
              <w:rPr>
                <w:noProof/>
              </w:rPr>
              <w:instrText xml:space="preserve"> PAGEREF _Toc242191486 \h </w:instrText>
            </w:r>
            <w:r w:rsidR="007E00B6">
              <w:rPr>
                <w:noProof/>
              </w:rPr>
            </w:r>
            <w:r w:rsidR="007E00B6">
              <w:rPr>
                <w:noProof/>
              </w:rPr>
              <w:fldChar w:fldCharType="separate"/>
            </w:r>
            <w:r w:rsidR="007E00B6">
              <w:rPr>
                <w:noProof/>
              </w:rPr>
              <w:t>10</w:t>
            </w:r>
            <w:r w:rsidR="007E00B6">
              <w:rPr>
                <w:noProof/>
              </w:rPr>
              <w:fldChar w:fldCharType="end"/>
            </w:r>
          </w:hyperlink>
        </w:p>
        <w:p w14:paraId="526DB67A" w14:textId="65579297" w:rsidR="007E00B6" w:rsidRDefault="005B63A4">
          <w:pPr>
            <w:pStyle w:val="TM1"/>
            <w:tabs>
              <w:tab w:val="right" w:leader="dot" w:pos="9296"/>
            </w:tabs>
            <w:rPr>
              <w:rFonts w:asciiTheme="minorHAnsi" w:eastAsiaTheme="minorEastAsia" w:hAnsiTheme="minorHAnsi" w:cstheme="minorBidi"/>
              <w:b w:val="0"/>
              <w:bCs w:val="0"/>
              <w:noProof/>
              <w:sz w:val="22"/>
              <w:szCs w:val="22"/>
            </w:rPr>
          </w:pPr>
          <w:hyperlink w:anchor="_Toc242191487" w:history="1">
            <w:r w:rsidR="007E00B6" w:rsidRPr="00E735BA">
              <w:rPr>
                <w:rStyle w:val="Lienhypertexte"/>
                <w:noProof/>
              </w:rPr>
              <w:t>3. Finalisation de la procédure</w:t>
            </w:r>
            <w:r w:rsidR="007E00B6">
              <w:rPr>
                <w:noProof/>
              </w:rPr>
              <w:tab/>
            </w:r>
            <w:r w:rsidR="007E00B6">
              <w:rPr>
                <w:noProof/>
              </w:rPr>
              <w:fldChar w:fldCharType="begin"/>
            </w:r>
            <w:r w:rsidR="007E00B6">
              <w:rPr>
                <w:noProof/>
              </w:rPr>
              <w:instrText xml:space="preserve"> PAGEREF _Toc242191487 \h </w:instrText>
            </w:r>
            <w:r w:rsidR="007E00B6">
              <w:rPr>
                <w:noProof/>
              </w:rPr>
            </w:r>
            <w:r w:rsidR="007E00B6">
              <w:rPr>
                <w:noProof/>
              </w:rPr>
              <w:fldChar w:fldCharType="separate"/>
            </w:r>
            <w:r w:rsidR="007E00B6">
              <w:rPr>
                <w:noProof/>
              </w:rPr>
              <w:t>11</w:t>
            </w:r>
            <w:r w:rsidR="007E00B6">
              <w:rPr>
                <w:noProof/>
              </w:rPr>
              <w:fldChar w:fldCharType="end"/>
            </w:r>
          </w:hyperlink>
        </w:p>
        <w:p w14:paraId="55FE5570" w14:textId="4D2847CB"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88" w:history="1">
            <w:r w:rsidR="007E00B6" w:rsidRPr="00E735BA">
              <w:rPr>
                <w:rStyle w:val="Lienhypertexte"/>
                <w:noProof/>
              </w:rPr>
              <w:t>3.1. Information des candidats non retenus</w:t>
            </w:r>
            <w:r w:rsidR="007E00B6">
              <w:rPr>
                <w:noProof/>
              </w:rPr>
              <w:tab/>
            </w:r>
            <w:r w:rsidR="007E00B6">
              <w:rPr>
                <w:noProof/>
              </w:rPr>
              <w:fldChar w:fldCharType="begin"/>
            </w:r>
            <w:r w:rsidR="007E00B6">
              <w:rPr>
                <w:noProof/>
              </w:rPr>
              <w:instrText xml:space="preserve"> PAGEREF _Toc242191488 \h </w:instrText>
            </w:r>
            <w:r w:rsidR="007E00B6">
              <w:rPr>
                <w:noProof/>
              </w:rPr>
            </w:r>
            <w:r w:rsidR="007E00B6">
              <w:rPr>
                <w:noProof/>
              </w:rPr>
              <w:fldChar w:fldCharType="separate"/>
            </w:r>
            <w:r w:rsidR="007E00B6">
              <w:rPr>
                <w:noProof/>
              </w:rPr>
              <w:t>11</w:t>
            </w:r>
            <w:r w:rsidR="007E00B6">
              <w:rPr>
                <w:noProof/>
              </w:rPr>
              <w:fldChar w:fldCharType="end"/>
            </w:r>
          </w:hyperlink>
        </w:p>
        <w:p w14:paraId="192091D7" w14:textId="1CD62277"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89" w:history="1">
            <w:r w:rsidR="007E00B6" w:rsidRPr="00E735BA">
              <w:rPr>
                <w:rStyle w:val="Lienhypertexte"/>
                <w:noProof/>
              </w:rPr>
              <w:t>3.2. Mise au point du contrat de concession</w:t>
            </w:r>
            <w:r w:rsidR="007E00B6">
              <w:rPr>
                <w:noProof/>
              </w:rPr>
              <w:tab/>
            </w:r>
            <w:r w:rsidR="007E00B6">
              <w:rPr>
                <w:noProof/>
              </w:rPr>
              <w:fldChar w:fldCharType="begin"/>
            </w:r>
            <w:r w:rsidR="007E00B6">
              <w:rPr>
                <w:noProof/>
              </w:rPr>
              <w:instrText xml:space="preserve"> PAGEREF _Toc242191489 \h </w:instrText>
            </w:r>
            <w:r w:rsidR="007E00B6">
              <w:rPr>
                <w:noProof/>
              </w:rPr>
            </w:r>
            <w:r w:rsidR="007E00B6">
              <w:rPr>
                <w:noProof/>
              </w:rPr>
              <w:fldChar w:fldCharType="separate"/>
            </w:r>
            <w:r w:rsidR="007E00B6">
              <w:rPr>
                <w:noProof/>
              </w:rPr>
              <w:t>11</w:t>
            </w:r>
            <w:r w:rsidR="007E00B6">
              <w:rPr>
                <w:noProof/>
              </w:rPr>
              <w:fldChar w:fldCharType="end"/>
            </w:r>
          </w:hyperlink>
        </w:p>
        <w:p w14:paraId="1187AB04" w14:textId="6C673C32"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90" w:history="1">
            <w:r w:rsidR="007E00B6" w:rsidRPr="00E735BA">
              <w:rPr>
                <w:rStyle w:val="Lienhypertexte"/>
                <w:noProof/>
              </w:rPr>
              <w:t>3.3. Signature et notification du contrat</w:t>
            </w:r>
            <w:r w:rsidR="007E00B6">
              <w:rPr>
                <w:noProof/>
              </w:rPr>
              <w:tab/>
            </w:r>
            <w:r w:rsidR="007E00B6">
              <w:rPr>
                <w:noProof/>
              </w:rPr>
              <w:fldChar w:fldCharType="begin"/>
            </w:r>
            <w:r w:rsidR="007E00B6">
              <w:rPr>
                <w:noProof/>
              </w:rPr>
              <w:instrText xml:space="preserve"> PAGEREF _Toc242191490 \h </w:instrText>
            </w:r>
            <w:r w:rsidR="007E00B6">
              <w:rPr>
                <w:noProof/>
              </w:rPr>
            </w:r>
            <w:r w:rsidR="007E00B6">
              <w:rPr>
                <w:noProof/>
              </w:rPr>
              <w:fldChar w:fldCharType="separate"/>
            </w:r>
            <w:r w:rsidR="007E00B6">
              <w:rPr>
                <w:noProof/>
              </w:rPr>
              <w:t>11</w:t>
            </w:r>
            <w:r w:rsidR="007E00B6">
              <w:rPr>
                <w:noProof/>
              </w:rPr>
              <w:fldChar w:fldCharType="end"/>
            </w:r>
          </w:hyperlink>
        </w:p>
        <w:p w14:paraId="1CB87DFD" w14:textId="57C947E0"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91" w:history="1">
            <w:r w:rsidR="007E00B6" w:rsidRPr="00E735BA">
              <w:rPr>
                <w:rStyle w:val="Lienhypertexte"/>
                <w:noProof/>
              </w:rPr>
              <w:t>3.4. Renonciation à la consultation</w:t>
            </w:r>
            <w:r w:rsidR="007E00B6">
              <w:rPr>
                <w:noProof/>
              </w:rPr>
              <w:tab/>
            </w:r>
            <w:r w:rsidR="007E00B6">
              <w:rPr>
                <w:noProof/>
              </w:rPr>
              <w:fldChar w:fldCharType="begin"/>
            </w:r>
            <w:r w:rsidR="007E00B6">
              <w:rPr>
                <w:noProof/>
              </w:rPr>
              <w:instrText xml:space="preserve"> PAGEREF _Toc242191491 \h </w:instrText>
            </w:r>
            <w:r w:rsidR="007E00B6">
              <w:rPr>
                <w:noProof/>
              </w:rPr>
            </w:r>
            <w:r w:rsidR="007E00B6">
              <w:rPr>
                <w:noProof/>
              </w:rPr>
              <w:fldChar w:fldCharType="separate"/>
            </w:r>
            <w:r w:rsidR="007E00B6">
              <w:rPr>
                <w:noProof/>
              </w:rPr>
              <w:t>11</w:t>
            </w:r>
            <w:r w:rsidR="007E00B6">
              <w:rPr>
                <w:noProof/>
              </w:rPr>
              <w:fldChar w:fldCharType="end"/>
            </w:r>
          </w:hyperlink>
        </w:p>
        <w:p w14:paraId="6CC61BF6" w14:textId="3D7E7D82" w:rsidR="007E00B6" w:rsidRDefault="005B63A4">
          <w:pPr>
            <w:pStyle w:val="TM1"/>
            <w:tabs>
              <w:tab w:val="right" w:leader="dot" w:pos="9296"/>
            </w:tabs>
            <w:rPr>
              <w:rFonts w:asciiTheme="minorHAnsi" w:eastAsiaTheme="minorEastAsia" w:hAnsiTheme="minorHAnsi" w:cstheme="minorBidi"/>
              <w:b w:val="0"/>
              <w:bCs w:val="0"/>
              <w:noProof/>
              <w:sz w:val="22"/>
              <w:szCs w:val="22"/>
            </w:rPr>
          </w:pPr>
          <w:hyperlink w:anchor="_Toc242191492" w:history="1">
            <w:r w:rsidR="007E00B6" w:rsidRPr="00E735BA">
              <w:rPr>
                <w:rStyle w:val="Lienhypertexte"/>
                <w:noProof/>
              </w:rPr>
              <w:t>4. Conditions de remise des plis</w:t>
            </w:r>
            <w:r w:rsidR="007E00B6">
              <w:rPr>
                <w:noProof/>
              </w:rPr>
              <w:tab/>
            </w:r>
            <w:r w:rsidR="007E00B6">
              <w:rPr>
                <w:noProof/>
              </w:rPr>
              <w:fldChar w:fldCharType="begin"/>
            </w:r>
            <w:r w:rsidR="007E00B6">
              <w:rPr>
                <w:noProof/>
              </w:rPr>
              <w:instrText xml:space="preserve"> PAGEREF _Toc242191492 \h </w:instrText>
            </w:r>
            <w:r w:rsidR="007E00B6">
              <w:rPr>
                <w:noProof/>
              </w:rPr>
            </w:r>
            <w:r w:rsidR="007E00B6">
              <w:rPr>
                <w:noProof/>
              </w:rPr>
              <w:fldChar w:fldCharType="separate"/>
            </w:r>
            <w:r w:rsidR="007E00B6">
              <w:rPr>
                <w:noProof/>
              </w:rPr>
              <w:t>11</w:t>
            </w:r>
            <w:r w:rsidR="007E00B6">
              <w:rPr>
                <w:noProof/>
              </w:rPr>
              <w:fldChar w:fldCharType="end"/>
            </w:r>
          </w:hyperlink>
        </w:p>
        <w:p w14:paraId="072BB065" w14:textId="789F2533"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93" w:history="1">
            <w:r w:rsidR="007E00B6" w:rsidRPr="00E735BA">
              <w:rPr>
                <w:rStyle w:val="Lienhypertexte"/>
                <w:noProof/>
              </w:rPr>
              <w:t>4.1. Transmission électronique</w:t>
            </w:r>
            <w:r w:rsidR="007E00B6">
              <w:rPr>
                <w:noProof/>
              </w:rPr>
              <w:tab/>
            </w:r>
            <w:r w:rsidR="007E00B6">
              <w:rPr>
                <w:noProof/>
              </w:rPr>
              <w:fldChar w:fldCharType="begin"/>
            </w:r>
            <w:r w:rsidR="007E00B6">
              <w:rPr>
                <w:noProof/>
              </w:rPr>
              <w:instrText xml:space="preserve"> PAGEREF _Toc242191493 \h </w:instrText>
            </w:r>
            <w:r w:rsidR="007E00B6">
              <w:rPr>
                <w:noProof/>
              </w:rPr>
            </w:r>
            <w:r w:rsidR="007E00B6">
              <w:rPr>
                <w:noProof/>
              </w:rPr>
              <w:fldChar w:fldCharType="separate"/>
            </w:r>
            <w:r w:rsidR="007E00B6">
              <w:rPr>
                <w:noProof/>
              </w:rPr>
              <w:t>11</w:t>
            </w:r>
            <w:r w:rsidR="007E00B6">
              <w:rPr>
                <w:noProof/>
              </w:rPr>
              <w:fldChar w:fldCharType="end"/>
            </w:r>
          </w:hyperlink>
        </w:p>
        <w:p w14:paraId="321AC844" w14:textId="01FCD6A5"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94" w:history="1">
            <w:r w:rsidR="007E00B6" w:rsidRPr="00E735BA">
              <w:rPr>
                <w:rStyle w:val="Lienhypertexte"/>
                <w:noProof/>
              </w:rPr>
              <w:t>4.2. Présentation du pli, formats et signature</w:t>
            </w:r>
            <w:r w:rsidR="007E00B6">
              <w:rPr>
                <w:noProof/>
              </w:rPr>
              <w:tab/>
            </w:r>
            <w:r w:rsidR="007E00B6">
              <w:rPr>
                <w:noProof/>
              </w:rPr>
              <w:fldChar w:fldCharType="begin"/>
            </w:r>
            <w:r w:rsidR="007E00B6">
              <w:rPr>
                <w:noProof/>
              </w:rPr>
              <w:instrText xml:space="preserve"> PAGEREF _Toc242191494 \h </w:instrText>
            </w:r>
            <w:r w:rsidR="007E00B6">
              <w:rPr>
                <w:noProof/>
              </w:rPr>
            </w:r>
            <w:r w:rsidR="007E00B6">
              <w:rPr>
                <w:noProof/>
              </w:rPr>
              <w:fldChar w:fldCharType="separate"/>
            </w:r>
            <w:r w:rsidR="007E00B6">
              <w:rPr>
                <w:noProof/>
              </w:rPr>
              <w:t>12</w:t>
            </w:r>
            <w:r w:rsidR="007E00B6">
              <w:rPr>
                <w:noProof/>
              </w:rPr>
              <w:fldChar w:fldCharType="end"/>
            </w:r>
          </w:hyperlink>
        </w:p>
        <w:p w14:paraId="4881ADAC" w14:textId="7501604D" w:rsidR="007E00B6" w:rsidRDefault="005B63A4">
          <w:pPr>
            <w:pStyle w:val="TM2"/>
            <w:tabs>
              <w:tab w:val="right" w:leader="dot" w:pos="9296"/>
            </w:tabs>
            <w:rPr>
              <w:rFonts w:asciiTheme="minorHAnsi" w:eastAsiaTheme="minorEastAsia" w:hAnsiTheme="minorHAnsi" w:cstheme="minorBidi"/>
              <w:noProof/>
              <w:sz w:val="22"/>
              <w:szCs w:val="22"/>
            </w:rPr>
          </w:pPr>
          <w:hyperlink w:anchor="_Toc242191495" w:history="1">
            <w:r w:rsidR="007E00B6" w:rsidRPr="00E735BA">
              <w:rPr>
                <w:rStyle w:val="Lienhypertexte"/>
                <w:noProof/>
              </w:rPr>
              <w:t>4.3. Profil d’acheteur et dispositions diverses</w:t>
            </w:r>
            <w:r w:rsidR="007E00B6">
              <w:rPr>
                <w:noProof/>
              </w:rPr>
              <w:tab/>
            </w:r>
            <w:r w:rsidR="007E00B6">
              <w:rPr>
                <w:noProof/>
              </w:rPr>
              <w:fldChar w:fldCharType="begin"/>
            </w:r>
            <w:r w:rsidR="007E00B6">
              <w:rPr>
                <w:noProof/>
              </w:rPr>
              <w:instrText xml:space="preserve"> PAGEREF _Toc242191495 \h </w:instrText>
            </w:r>
            <w:r w:rsidR="007E00B6">
              <w:rPr>
                <w:noProof/>
              </w:rPr>
            </w:r>
            <w:r w:rsidR="007E00B6">
              <w:rPr>
                <w:noProof/>
              </w:rPr>
              <w:fldChar w:fldCharType="separate"/>
            </w:r>
            <w:r w:rsidR="007E00B6">
              <w:rPr>
                <w:noProof/>
              </w:rPr>
              <w:t>12</w:t>
            </w:r>
            <w:r w:rsidR="007E00B6">
              <w:rPr>
                <w:noProof/>
              </w:rPr>
              <w:fldChar w:fldCharType="end"/>
            </w:r>
          </w:hyperlink>
        </w:p>
        <w:p w14:paraId="31F07893" w14:textId="195F1EDD" w:rsidR="007E00B6" w:rsidRDefault="005B63A4">
          <w:pPr>
            <w:pStyle w:val="TM1"/>
            <w:tabs>
              <w:tab w:val="right" w:leader="dot" w:pos="9296"/>
            </w:tabs>
            <w:rPr>
              <w:rFonts w:asciiTheme="minorHAnsi" w:eastAsiaTheme="minorEastAsia" w:hAnsiTheme="minorHAnsi" w:cstheme="minorBidi"/>
              <w:b w:val="0"/>
              <w:bCs w:val="0"/>
              <w:noProof/>
              <w:sz w:val="22"/>
              <w:szCs w:val="22"/>
            </w:rPr>
          </w:pPr>
          <w:hyperlink w:anchor="_Toc242191496" w:history="1">
            <w:r w:rsidR="007E00B6" w:rsidRPr="00E735BA">
              <w:rPr>
                <w:rStyle w:val="Lienhypertexte"/>
                <w:noProof/>
              </w:rPr>
              <w:t>5. Renseignements complémentaires</w:t>
            </w:r>
            <w:r w:rsidR="007E00B6">
              <w:rPr>
                <w:noProof/>
              </w:rPr>
              <w:tab/>
            </w:r>
            <w:r w:rsidR="007E00B6">
              <w:rPr>
                <w:noProof/>
              </w:rPr>
              <w:fldChar w:fldCharType="begin"/>
            </w:r>
            <w:r w:rsidR="007E00B6">
              <w:rPr>
                <w:noProof/>
              </w:rPr>
              <w:instrText xml:space="preserve"> PAGEREF _Toc242191496 \h </w:instrText>
            </w:r>
            <w:r w:rsidR="007E00B6">
              <w:rPr>
                <w:noProof/>
              </w:rPr>
            </w:r>
            <w:r w:rsidR="007E00B6">
              <w:rPr>
                <w:noProof/>
              </w:rPr>
              <w:fldChar w:fldCharType="separate"/>
            </w:r>
            <w:r w:rsidR="007E00B6">
              <w:rPr>
                <w:noProof/>
              </w:rPr>
              <w:t>13</w:t>
            </w:r>
            <w:r w:rsidR="007E00B6">
              <w:rPr>
                <w:noProof/>
              </w:rPr>
              <w:fldChar w:fldCharType="end"/>
            </w:r>
          </w:hyperlink>
        </w:p>
        <w:p w14:paraId="714E781D" w14:textId="2E97E7F3" w:rsidR="007E00B6" w:rsidRDefault="005B63A4">
          <w:pPr>
            <w:pStyle w:val="TM1"/>
            <w:tabs>
              <w:tab w:val="right" w:leader="dot" w:pos="9296"/>
            </w:tabs>
            <w:rPr>
              <w:rFonts w:asciiTheme="minorHAnsi" w:eastAsiaTheme="minorEastAsia" w:hAnsiTheme="minorHAnsi" w:cstheme="minorBidi"/>
              <w:b w:val="0"/>
              <w:bCs w:val="0"/>
              <w:noProof/>
              <w:sz w:val="22"/>
              <w:szCs w:val="22"/>
            </w:rPr>
          </w:pPr>
          <w:hyperlink w:anchor="_Toc242191497" w:history="1">
            <w:r w:rsidR="007E00B6" w:rsidRPr="00E735BA">
              <w:rPr>
                <w:rStyle w:val="Lienhypertexte"/>
                <w:noProof/>
              </w:rPr>
              <w:t>6. Jugement des contestations</w:t>
            </w:r>
            <w:r w:rsidR="007E00B6">
              <w:rPr>
                <w:noProof/>
              </w:rPr>
              <w:tab/>
            </w:r>
            <w:r w:rsidR="007E00B6">
              <w:rPr>
                <w:noProof/>
              </w:rPr>
              <w:fldChar w:fldCharType="begin"/>
            </w:r>
            <w:r w:rsidR="007E00B6">
              <w:rPr>
                <w:noProof/>
              </w:rPr>
              <w:instrText xml:space="preserve"> PAGEREF _Toc242191497 \h </w:instrText>
            </w:r>
            <w:r w:rsidR="007E00B6">
              <w:rPr>
                <w:noProof/>
              </w:rPr>
            </w:r>
            <w:r w:rsidR="007E00B6">
              <w:rPr>
                <w:noProof/>
              </w:rPr>
              <w:fldChar w:fldCharType="separate"/>
            </w:r>
            <w:r w:rsidR="007E00B6">
              <w:rPr>
                <w:noProof/>
              </w:rPr>
              <w:t>13</w:t>
            </w:r>
            <w:r w:rsidR="007E00B6">
              <w:rPr>
                <w:noProof/>
              </w:rPr>
              <w:fldChar w:fldCharType="end"/>
            </w:r>
          </w:hyperlink>
        </w:p>
        <w:p w14:paraId="643DAC16" w14:textId="6A62F322" w:rsidR="00C53F10" w:rsidRDefault="003D679F">
          <w:r>
            <w:fldChar w:fldCharType="end"/>
          </w:r>
        </w:p>
      </w:sdtContent>
    </w:sdt>
    <w:p w14:paraId="2CFFAA3A" w14:textId="77777777" w:rsidR="00C53F10" w:rsidRDefault="003D679F">
      <w:pPr>
        <w:pStyle w:val="Titre1"/>
        <w:pageBreakBefore/>
      </w:pPr>
      <w:bookmarkStart w:id="0" w:name="_Toc242191468"/>
      <w:r>
        <w:lastRenderedPageBreak/>
        <w:t>1. Objet et mise en œuvre de la consultation</w:t>
      </w:r>
      <w:bookmarkEnd w:id="0"/>
    </w:p>
    <w:p w14:paraId="67322B90" w14:textId="77777777" w:rsidR="00C53F10" w:rsidRDefault="003D679F">
      <w:pPr>
        <w:pStyle w:val="Titre2"/>
      </w:pPr>
      <w:bookmarkStart w:id="1" w:name="_Toc242191469"/>
      <w:r>
        <w:t>1.1. Objet de la consultation</w:t>
      </w:r>
      <w:bookmarkEnd w:id="1"/>
    </w:p>
    <w:p w14:paraId="0ABE31DF" w14:textId="77777777" w:rsidR="00C53F10" w:rsidRDefault="003D679F">
      <w:pPr>
        <w:spacing w:after="120"/>
        <w:jc w:val="both"/>
      </w:pPr>
      <w:r>
        <w:t xml:space="preserve">Le quartier de </w:t>
      </w:r>
      <w:proofErr w:type="spellStart"/>
      <w:r>
        <w:t>Vilgénis</w:t>
      </w:r>
      <w:proofErr w:type="spellEnd"/>
      <w:r>
        <w:t xml:space="preserve">, situé au nord-ouest de la commune, a été aménagé sur l’ancienne friche industrielle correspondant aux anciens terrains et bâtiments d’activités d’Air France, en lien avec un grand parc paysager </w:t>
      </w:r>
      <w:proofErr w:type="gramStart"/>
      <w:r>
        <w:t>classé</w:t>
      </w:r>
      <w:proofErr w:type="gramEnd"/>
      <w:r>
        <w:t xml:space="preserve"> de 30 hectares. Cette opération d’aménagement, aujourd’hui achevée, a permis la réalisation d’environ 1 000 logements et d’un groupe scolaire de 16 classes, tout en ouvrant au public un vaste espace naturel de 20 hectares, dans le respect du caractère arboré exceptionnel du site.</w:t>
      </w:r>
    </w:p>
    <w:p w14:paraId="3D8BE378" w14:textId="77777777" w:rsidR="00C53F10" w:rsidRDefault="003D679F">
      <w:pPr>
        <w:spacing w:after="120"/>
        <w:jc w:val="both"/>
      </w:pPr>
      <w:r>
        <w:t>Le projet prévoyait notamment la réalisation d’un multi-accueil. En 2018, la Ville de Massy a fait le choix de recourir à une délégation de service public pour la gestion de cet équipement, alors qu’elle gérait jusque-là ses structures d’accueil de la petite enfance majoritairement en régie directe (10 structures, 658 places).</w:t>
      </w:r>
    </w:p>
    <w:p w14:paraId="3AA259EC" w14:textId="77777777" w:rsidR="00C53F10" w:rsidRDefault="003D679F">
      <w:pPr>
        <w:spacing w:after="120"/>
        <w:jc w:val="both"/>
      </w:pPr>
      <w:r>
        <w:t xml:space="preserve">La crèche collective </w:t>
      </w:r>
      <w:proofErr w:type="spellStart"/>
      <w:r>
        <w:t>Vilgénis</w:t>
      </w:r>
      <w:proofErr w:type="spellEnd"/>
      <w:r>
        <w:t xml:space="preserve">, située 12 </w:t>
      </w:r>
      <w:proofErr w:type="gramStart"/>
      <w:r>
        <w:t>allée</w:t>
      </w:r>
      <w:proofErr w:type="gramEnd"/>
      <w:r>
        <w:t xml:space="preserve"> Louis Blériot, a ouvert ses portes le 1er septembre 2022, avec une capacité initiale de 33 places pour des enfants de 10 semaines à 3 ans révolus, répartis en trois sections (bébés, moyens, grands). Cette capacité a été portée à 45 places au 1er janvier 2024, accompagnant la montée en charge du quartier.</w:t>
      </w:r>
    </w:p>
    <w:p w14:paraId="016078B9" w14:textId="77777777" w:rsidR="00C53F10" w:rsidRDefault="003D679F">
      <w:pPr>
        <w:spacing w:after="120"/>
        <w:jc w:val="both"/>
      </w:pPr>
      <w:r>
        <w:t xml:space="preserve">Le contrat en cours arrivant à échéance le 31 août 2027 (cf. article 1.10), la Ville de Massy souhaite désigner le futur exploitant du service. Par délibération en date du 24 septembre 2026, la Ville de Massy a décidé de lancer une procédure de concession de service public afin de concéder l’exploitation du multi-accueil de </w:t>
      </w:r>
      <w:proofErr w:type="spellStart"/>
      <w:r>
        <w:t>Vilgénis</w:t>
      </w:r>
      <w:proofErr w:type="spellEnd"/>
      <w:r>
        <w:t xml:space="preserve"> de 45 places.</w:t>
      </w:r>
    </w:p>
    <w:p w14:paraId="6D03F758" w14:textId="77777777" w:rsidR="00C53F10" w:rsidRDefault="003D679F">
      <w:pPr>
        <w:spacing w:after="120"/>
        <w:jc w:val="both"/>
      </w:pPr>
      <w:r>
        <w:t>La structure étant déjà en fonctionnement, le concessionnaire reprend l’exploitation des locaux et équipements existants, mis à disposition par la Ville dans les conditions prévues à l’article 4 du projet de contrat.</w:t>
      </w:r>
    </w:p>
    <w:p w14:paraId="4C34D644" w14:textId="77777777" w:rsidR="00C53F10" w:rsidRPr="002D77A5" w:rsidRDefault="003D679F">
      <w:pPr>
        <w:keepNext/>
        <w:spacing w:after="120"/>
        <w:jc w:val="both"/>
      </w:pPr>
      <w:r w:rsidRPr="002D77A5">
        <w:t>Le calendrier prévisionnel de la procédure est le suivant :</w:t>
      </w:r>
    </w:p>
    <w:p w14:paraId="220CD847" w14:textId="4AD3462D" w:rsidR="00C53F10" w:rsidRPr="002D77A5" w:rsidRDefault="00E90A1D">
      <w:pPr>
        <w:pStyle w:val="Paragraphedeliste"/>
        <w:numPr>
          <w:ilvl w:val="0"/>
          <w:numId w:val="2"/>
        </w:numPr>
        <w:spacing w:after="60"/>
        <w:jc w:val="both"/>
      </w:pPr>
      <w:r w:rsidRPr="002D77A5">
        <w:t>Publication de l’avis de concession et mise en ligne du dossier de consultation : le 1er octobre 2026 ;</w:t>
      </w:r>
    </w:p>
    <w:p w14:paraId="7371FAF0" w14:textId="77777777" w:rsidR="00C53F10" w:rsidRPr="002D77A5" w:rsidRDefault="00E90A1D">
      <w:pPr>
        <w:pStyle w:val="Paragraphedeliste"/>
        <w:numPr>
          <w:ilvl w:val="0"/>
          <w:numId w:val="2"/>
        </w:numPr>
        <w:spacing w:after="60"/>
        <w:jc w:val="both"/>
      </w:pPr>
      <w:r w:rsidRPr="002D77A5">
        <w:t>Date limite de remise des candidatures et des offres : le 16 novembre 2026 à 12h00 ;</w:t>
      </w:r>
    </w:p>
    <w:p w14:paraId="322179EE" w14:textId="77777777" w:rsidR="00C53F10" w:rsidRPr="002D77A5" w:rsidRDefault="00E90A1D">
      <w:pPr>
        <w:pStyle w:val="Paragraphedeliste"/>
        <w:numPr>
          <w:ilvl w:val="0"/>
          <w:numId w:val="2"/>
        </w:numPr>
        <w:spacing w:after="60"/>
        <w:jc w:val="both"/>
      </w:pPr>
      <w:r w:rsidRPr="002D77A5">
        <w:t>Envoi des courriers d’invitation aux négociations : entre le 21 et le 24 décembre 2026 ;</w:t>
      </w:r>
    </w:p>
    <w:p w14:paraId="494F78C6" w14:textId="77777777" w:rsidR="00C53F10" w:rsidRPr="002D77A5" w:rsidRDefault="00E90A1D">
      <w:pPr>
        <w:pStyle w:val="Paragraphedeliste"/>
        <w:numPr>
          <w:ilvl w:val="0"/>
          <w:numId w:val="2"/>
        </w:numPr>
        <w:spacing w:after="60"/>
        <w:jc w:val="both"/>
      </w:pPr>
      <w:r w:rsidRPr="002D77A5">
        <w:t>Négociations : réunion technique et qualité le 21 janvier 2027, réunion financière le 11 février 2027 ;</w:t>
      </w:r>
    </w:p>
    <w:p w14:paraId="08D9318E" w14:textId="77777777" w:rsidR="00C53F10" w:rsidRPr="002D77A5" w:rsidRDefault="00E90A1D">
      <w:pPr>
        <w:pStyle w:val="Paragraphedeliste"/>
        <w:numPr>
          <w:ilvl w:val="0"/>
          <w:numId w:val="2"/>
        </w:numPr>
        <w:spacing w:after="60"/>
        <w:jc w:val="both"/>
      </w:pPr>
      <w:r w:rsidRPr="002D77A5">
        <w:t>Envoi du courrier de demande d’offre finale : le 15 février 2027 ;</w:t>
      </w:r>
    </w:p>
    <w:p w14:paraId="0F4EBE19" w14:textId="77777777" w:rsidR="00C53F10" w:rsidRPr="002D77A5" w:rsidRDefault="00E90A1D">
      <w:pPr>
        <w:pStyle w:val="Paragraphedeliste"/>
        <w:numPr>
          <w:ilvl w:val="0"/>
          <w:numId w:val="2"/>
        </w:numPr>
        <w:spacing w:after="60"/>
        <w:jc w:val="both"/>
      </w:pPr>
      <w:r w:rsidRPr="002D77A5">
        <w:t>Remise des offres finales : le 1er mars 2027 (délai de deux semaines) ;</w:t>
      </w:r>
    </w:p>
    <w:p w14:paraId="5ADF90AF" w14:textId="77777777" w:rsidR="00C53F10" w:rsidRPr="002D77A5" w:rsidRDefault="00E90A1D">
      <w:pPr>
        <w:pStyle w:val="Paragraphedeliste"/>
        <w:numPr>
          <w:ilvl w:val="0"/>
          <w:numId w:val="2"/>
        </w:numPr>
        <w:spacing w:after="60"/>
        <w:jc w:val="both"/>
      </w:pPr>
      <w:r w:rsidRPr="002D77A5">
        <w:t>Rapport du Maire sur le choix du concessionnaire : finalisation le 20 avril 2027, transmission aux conseillers municipaux au plus tard 15 jours francs avant le Conseil municipal ;</w:t>
      </w:r>
    </w:p>
    <w:p w14:paraId="4DBE6DFA" w14:textId="77777777" w:rsidR="00C53F10" w:rsidRPr="002D77A5" w:rsidRDefault="00E90A1D">
      <w:pPr>
        <w:pStyle w:val="Paragraphedeliste"/>
        <w:numPr>
          <w:ilvl w:val="0"/>
          <w:numId w:val="2"/>
        </w:numPr>
        <w:spacing w:after="60"/>
        <w:jc w:val="both"/>
      </w:pPr>
      <w:r w:rsidRPr="002D77A5">
        <w:t>Approbation du choix du concessionnaire par le Conseil municipal : le 20 mai 2027 ;</w:t>
      </w:r>
    </w:p>
    <w:p w14:paraId="1D8DF8F2" w14:textId="77777777" w:rsidR="00C53F10" w:rsidRPr="002D77A5" w:rsidRDefault="00E90A1D">
      <w:pPr>
        <w:pStyle w:val="Paragraphedeliste"/>
        <w:numPr>
          <w:ilvl w:val="0"/>
          <w:numId w:val="2"/>
        </w:numPr>
        <w:spacing w:after="60"/>
        <w:jc w:val="both"/>
      </w:pPr>
      <w:r w:rsidRPr="002D77A5">
        <w:t>Notification du contrat : le 15 juin 2027 ;</w:t>
      </w:r>
    </w:p>
    <w:p w14:paraId="6A942FAE" w14:textId="77777777" w:rsidR="00C53F10" w:rsidRPr="002D77A5" w:rsidRDefault="00E90A1D">
      <w:pPr>
        <w:pStyle w:val="Paragraphedeliste"/>
        <w:numPr>
          <w:ilvl w:val="0"/>
          <w:numId w:val="2"/>
        </w:numPr>
        <w:spacing w:after="60"/>
        <w:jc w:val="both"/>
      </w:pPr>
      <w:r w:rsidRPr="002D77A5">
        <w:t>Prise d’effet du contrat et reprise de l’exploitation : le 1er septembre 2027.</w:t>
      </w:r>
    </w:p>
    <w:p w14:paraId="6044A0AA" w14:textId="77777777" w:rsidR="00C53F10" w:rsidRDefault="003D679F">
      <w:pPr>
        <w:pStyle w:val="Titre2"/>
      </w:pPr>
      <w:bookmarkStart w:id="2" w:name="_Toc242191470"/>
      <w:r w:rsidRPr="002D77A5">
        <w:t>1.2. Fondement juridique de la procédure</w:t>
      </w:r>
      <w:bookmarkEnd w:id="2"/>
    </w:p>
    <w:p w14:paraId="43D4940B" w14:textId="3EE42043" w:rsidR="00C53F10" w:rsidRDefault="003D679F">
      <w:pPr>
        <w:spacing w:after="120"/>
        <w:jc w:val="both"/>
      </w:pPr>
      <w:r>
        <w:t>La présente consultation est une procédure de passation d’un contrat de concession de service public (délégation de service public). Elle est soumise aux articles L. 1411-1 et suivants et R. 1411-1 et suivants du Code général des collectivités territoriales, ainsi qu’aux dispositions de la troisième partie du Code de la commande publique relatives aux contrats de concession.</w:t>
      </w:r>
    </w:p>
    <w:p w14:paraId="4D403CA4" w14:textId="77777777" w:rsidR="00C53F10" w:rsidRDefault="003D679F">
      <w:pPr>
        <w:keepNext/>
        <w:spacing w:after="120"/>
        <w:jc w:val="both"/>
      </w:pPr>
      <w:r>
        <w:t>La consultation est régie par les principes suivants :</w:t>
      </w:r>
    </w:p>
    <w:p w14:paraId="346346D5" w14:textId="5B1C6498" w:rsidR="00C53F10" w:rsidRDefault="00E90A1D">
      <w:pPr>
        <w:pStyle w:val="Paragraphedeliste"/>
        <w:numPr>
          <w:ilvl w:val="0"/>
          <w:numId w:val="2"/>
        </w:numPr>
        <w:spacing w:after="60"/>
        <w:jc w:val="both"/>
      </w:pPr>
      <w:r>
        <w:t>Liberté</w:t>
      </w:r>
      <w:r w:rsidR="003D679F">
        <w:t xml:space="preserve"> d’accès ;</w:t>
      </w:r>
    </w:p>
    <w:p w14:paraId="5FA11864" w14:textId="5EF0707F" w:rsidR="00C53F10" w:rsidRDefault="00E90A1D">
      <w:pPr>
        <w:pStyle w:val="Paragraphedeliste"/>
        <w:numPr>
          <w:ilvl w:val="0"/>
          <w:numId w:val="2"/>
        </w:numPr>
        <w:spacing w:after="60"/>
        <w:jc w:val="both"/>
      </w:pPr>
      <w:r>
        <w:t>Égalité</w:t>
      </w:r>
      <w:r w:rsidR="003D679F">
        <w:t xml:space="preserve"> de traitement des candidats : à ce titre, le concédant ne donnera pas à certains opérateurs économiques des informations susceptibles de les avantager par rapport à d’autres ;</w:t>
      </w:r>
    </w:p>
    <w:p w14:paraId="4231AB50" w14:textId="4F00F15A" w:rsidR="00C53F10" w:rsidRDefault="00E90A1D">
      <w:pPr>
        <w:pStyle w:val="Paragraphedeliste"/>
        <w:numPr>
          <w:ilvl w:val="0"/>
          <w:numId w:val="2"/>
        </w:numPr>
        <w:spacing w:after="60"/>
        <w:jc w:val="both"/>
      </w:pPr>
      <w:r>
        <w:t>Transparence</w:t>
      </w:r>
      <w:r w:rsidR="003D679F">
        <w:t xml:space="preserve"> de la procédure ;</w:t>
      </w:r>
    </w:p>
    <w:p w14:paraId="068606FD" w14:textId="684B6BF8" w:rsidR="00C53F10" w:rsidRDefault="00E90A1D">
      <w:pPr>
        <w:pStyle w:val="Paragraphedeliste"/>
        <w:numPr>
          <w:ilvl w:val="0"/>
          <w:numId w:val="2"/>
        </w:numPr>
        <w:spacing w:after="60"/>
        <w:jc w:val="both"/>
      </w:pPr>
      <w:r>
        <w:lastRenderedPageBreak/>
        <w:t>Respect</w:t>
      </w:r>
      <w:r w:rsidR="003D679F">
        <w:t xml:space="preserve"> du secret des affaires : le concédant ne peut, notamment, révéler aux autres opérateurs économiques des solutions proposées ou des informations confidentielles communiquées par un opérateur économique sans l’accord de ce dernier ;</w:t>
      </w:r>
    </w:p>
    <w:p w14:paraId="5EC6D31A" w14:textId="53030E75" w:rsidR="00C53F10" w:rsidRDefault="00E90A1D">
      <w:pPr>
        <w:pStyle w:val="Paragraphedeliste"/>
        <w:numPr>
          <w:ilvl w:val="0"/>
          <w:numId w:val="2"/>
        </w:numPr>
        <w:spacing w:after="60"/>
        <w:jc w:val="both"/>
      </w:pPr>
      <w:r>
        <w:t>Droit</w:t>
      </w:r>
      <w:r w:rsidR="003D679F">
        <w:t xml:space="preserve"> à un recours effectif.</w:t>
      </w:r>
    </w:p>
    <w:p w14:paraId="0C9D7952" w14:textId="77777777" w:rsidR="00C53F10" w:rsidRDefault="003D679F">
      <w:pPr>
        <w:spacing w:before="80" w:after="120"/>
        <w:jc w:val="both"/>
      </w:pPr>
      <w:r>
        <w:t>Les candidats s’engagent à ne pas divulguer à des tiers le contenu de leur offre, durant ou après son élaboration, jusqu’à la signature du contrat.</w:t>
      </w:r>
    </w:p>
    <w:p w14:paraId="1043EF59" w14:textId="77777777" w:rsidR="00C53F10" w:rsidRDefault="003D679F">
      <w:pPr>
        <w:spacing w:after="120"/>
        <w:jc w:val="both"/>
      </w:pPr>
      <w:r>
        <w:t>Le concédant se réserve la possibilité de prononcer l’élimination de tout opérateur économique en cas de non-respect de cette disposition.</w:t>
      </w:r>
    </w:p>
    <w:p w14:paraId="1941D16C" w14:textId="77777777" w:rsidR="00C53F10" w:rsidRDefault="003D679F">
      <w:pPr>
        <w:pStyle w:val="Titre2"/>
      </w:pPr>
      <w:bookmarkStart w:id="3" w:name="_Toc242191471"/>
      <w:r>
        <w:t>1.3. Décomposition de la consultation</w:t>
      </w:r>
      <w:bookmarkEnd w:id="3"/>
    </w:p>
    <w:p w14:paraId="0D0BD688" w14:textId="77777777" w:rsidR="00C53F10" w:rsidRDefault="003D679F">
      <w:pPr>
        <w:spacing w:after="120"/>
        <w:jc w:val="both"/>
      </w:pPr>
      <w:r>
        <w:t>Il n’est pas prévu de décomposition en lots.</w:t>
      </w:r>
    </w:p>
    <w:p w14:paraId="1A31DF06" w14:textId="77777777" w:rsidR="00C53F10" w:rsidRDefault="003D679F">
      <w:pPr>
        <w:pStyle w:val="Titre2"/>
      </w:pPr>
      <w:bookmarkStart w:id="4" w:name="_Toc242191472"/>
      <w:r>
        <w:t>1.4. Conditions de participation des candidats</w:t>
      </w:r>
      <w:bookmarkEnd w:id="4"/>
    </w:p>
    <w:p w14:paraId="0645A4D4" w14:textId="77777777" w:rsidR="00C53F10" w:rsidRDefault="003D679F">
      <w:pPr>
        <w:spacing w:after="120"/>
        <w:jc w:val="both"/>
      </w:pPr>
      <w:r>
        <w:t>L’opérateur économique pourra répondre soit sous la forme d’un contractant unique, soit sous la forme d’un groupement solidaire ou d’un groupement conjoint dont le mandataire sera solidaire.</w:t>
      </w:r>
    </w:p>
    <w:p w14:paraId="38D0FC9B" w14:textId="77777777" w:rsidR="00C53F10" w:rsidRDefault="003D679F">
      <w:pPr>
        <w:spacing w:after="120"/>
        <w:jc w:val="both"/>
      </w:pPr>
      <w:r>
        <w:t>Un même opérateur économique ne peut déposer à la fois une candidature individuelle et une candidature dans le cadre d’un groupement, ni être membre de plusieurs groupements.</w:t>
      </w:r>
    </w:p>
    <w:p w14:paraId="4477AADD" w14:textId="77777777" w:rsidR="00C53F10" w:rsidRDefault="003D679F">
      <w:pPr>
        <w:spacing w:after="120"/>
        <w:jc w:val="both"/>
      </w:pPr>
      <w:r>
        <w:t>L’identité, le rôle et, eu égard aux compétences, la complémentarité de chacun des membres du groupement devront être clairement précisés.</w:t>
      </w:r>
    </w:p>
    <w:p w14:paraId="3DE2B0FC" w14:textId="77777777" w:rsidR="00C53F10" w:rsidRDefault="003D679F">
      <w:pPr>
        <w:pStyle w:val="Titre2"/>
      </w:pPr>
      <w:bookmarkStart w:id="5" w:name="_Toc242191473"/>
      <w:r>
        <w:t>1.5. Délais de consultation</w:t>
      </w:r>
      <w:bookmarkEnd w:id="5"/>
    </w:p>
    <w:p w14:paraId="79C5CC26" w14:textId="0C2E6D3D" w:rsidR="008562A9" w:rsidRDefault="003D679F">
      <w:pPr>
        <w:spacing w:after="120"/>
        <w:jc w:val="both"/>
      </w:pPr>
      <w:r w:rsidRPr="0087712C">
        <w:t xml:space="preserve">La date limite de remise des candidatures et des offres est fixée au </w:t>
      </w:r>
      <w:r>
        <w:t xml:space="preserve">le 16 novembre 2026 </w:t>
      </w:r>
      <w:r w:rsidR="008562A9" w:rsidRPr="0087712C">
        <w:t>à 12h00</w:t>
      </w:r>
      <w:r w:rsidR="008562A9" w:rsidRPr="008562A9">
        <w:t>.</w:t>
      </w:r>
    </w:p>
    <w:p w14:paraId="4093D957" w14:textId="77777777" w:rsidR="00C53F10" w:rsidRDefault="003D679F">
      <w:pPr>
        <w:pStyle w:val="Titre2"/>
      </w:pPr>
      <w:bookmarkStart w:id="6" w:name="_Toc242191474"/>
      <w:r>
        <w:t>1.6. Durée de la concession</w:t>
      </w:r>
      <w:bookmarkEnd w:id="6"/>
    </w:p>
    <w:p w14:paraId="0305A57E" w14:textId="77777777" w:rsidR="00C53F10" w:rsidRDefault="003D679F">
      <w:pPr>
        <w:spacing w:after="120"/>
        <w:jc w:val="both"/>
      </w:pPr>
      <w:r>
        <w:t>Le contrat de concession est conclu pour une durée de six (6) ans à compter du 1er septembre 2027, soit jusqu’au 31 août 2033.</w:t>
      </w:r>
    </w:p>
    <w:p w14:paraId="0AAA7FCF" w14:textId="77777777" w:rsidR="00C53F10" w:rsidRDefault="003D679F">
      <w:pPr>
        <w:spacing w:after="120"/>
        <w:jc w:val="both"/>
      </w:pPr>
      <w:r>
        <w:t>N.B. : la désignation du concessionnaire en amont de cette date permettra d’organiser la transition avec l’exploitant actuel et la reprise du service dans les meilleures conditions.</w:t>
      </w:r>
    </w:p>
    <w:p w14:paraId="49F5E20C" w14:textId="77777777" w:rsidR="00C53F10" w:rsidRDefault="003D679F">
      <w:pPr>
        <w:pStyle w:val="Titre2"/>
      </w:pPr>
      <w:bookmarkStart w:id="7" w:name="_Toc242191475"/>
      <w:r>
        <w:t>1.7. Valeur estimée de la concession</w:t>
      </w:r>
      <w:bookmarkEnd w:id="7"/>
    </w:p>
    <w:p w14:paraId="78EDB984" w14:textId="49DD8DCD" w:rsidR="00C53F10" w:rsidRDefault="003D679F">
      <w:pPr>
        <w:spacing w:after="120"/>
        <w:jc w:val="both"/>
      </w:pPr>
      <w:r>
        <w:t>La valeur estimée de la concession, sur sa durée totale de six (6) ans, est de</w:t>
      </w:r>
      <w:r w:rsidR="000530FA">
        <w:t xml:space="preserve"> 4 millions d’</w:t>
      </w:r>
      <w:r>
        <w:t>euros hors taxes, calculé selon la méthode prévue à l’article R. 3121-1 du Code de la commande publique.</w:t>
      </w:r>
    </w:p>
    <w:p w14:paraId="52F305B2" w14:textId="77777777" w:rsidR="00C53F10" w:rsidRDefault="003D679F">
      <w:pPr>
        <w:pStyle w:val="Titre2"/>
      </w:pPr>
      <w:bookmarkStart w:id="8" w:name="_Toc242191476"/>
      <w:r>
        <w:t>1.8. Délai de validité des offres</w:t>
      </w:r>
      <w:bookmarkEnd w:id="8"/>
    </w:p>
    <w:p w14:paraId="502E6A89" w14:textId="46271247" w:rsidR="00C53F10" w:rsidRDefault="003D679F">
      <w:pPr>
        <w:spacing w:after="120"/>
        <w:jc w:val="both"/>
      </w:pPr>
      <w:r>
        <w:t>Le délai de validité des offres est fixé à 1</w:t>
      </w:r>
      <w:r w:rsidR="00E047A5">
        <w:t>8</w:t>
      </w:r>
      <w:r>
        <w:t>0 jours à compter de la date limite de réception des offres finales.</w:t>
      </w:r>
    </w:p>
    <w:p w14:paraId="1FB9E0B0" w14:textId="77777777" w:rsidR="00C53F10" w:rsidRDefault="003D679F">
      <w:pPr>
        <w:pStyle w:val="Titre2"/>
      </w:pPr>
      <w:bookmarkStart w:id="9" w:name="_Toc242191477"/>
      <w:r>
        <w:t>1.9. Modes de rémunération</w:t>
      </w:r>
      <w:bookmarkEnd w:id="9"/>
    </w:p>
    <w:p w14:paraId="38ED8E63" w14:textId="77777777" w:rsidR="00C53F10" w:rsidRDefault="003D679F">
      <w:pPr>
        <w:keepNext/>
        <w:spacing w:after="120"/>
        <w:jc w:val="both"/>
      </w:pPr>
      <w:r>
        <w:t>Les ressources du concessionnaire se décomposent comme suit :</w:t>
      </w:r>
    </w:p>
    <w:p w14:paraId="0C7C4CA0" w14:textId="56F5EA74" w:rsidR="00C53F10" w:rsidRDefault="00E90A1D">
      <w:pPr>
        <w:pStyle w:val="Paragraphedeliste"/>
        <w:numPr>
          <w:ilvl w:val="0"/>
          <w:numId w:val="2"/>
        </w:numPr>
        <w:spacing w:after="60"/>
        <w:jc w:val="both"/>
      </w:pPr>
      <w:r>
        <w:t>La</w:t>
      </w:r>
      <w:r w:rsidR="003D679F">
        <w:t xml:space="preserve"> prestation de service unique (PSU) versée par les familles et par la CAF ;</w:t>
      </w:r>
    </w:p>
    <w:p w14:paraId="179455BE" w14:textId="5C819AF5" w:rsidR="00C53F10" w:rsidRDefault="00E90A1D">
      <w:pPr>
        <w:pStyle w:val="Paragraphedeliste"/>
        <w:numPr>
          <w:ilvl w:val="0"/>
          <w:numId w:val="2"/>
        </w:numPr>
        <w:spacing w:after="60"/>
        <w:jc w:val="both"/>
      </w:pPr>
      <w:r>
        <w:t>La</w:t>
      </w:r>
      <w:r w:rsidR="003D679F">
        <w:t xml:space="preserve"> compensation financière du concédant, </w:t>
      </w:r>
      <w:r>
        <w:t>définie sur la base du compte d’exploitation prévisionnel (CEP), éventuellement majorée en cas d’exercice par le concédant de l’option de réservation de places à tarif préférentiel (articles 3.5 et 6.5 du projet de contrat), cette majoration n’étant pas intégrée au CEP ;</w:t>
      </w:r>
    </w:p>
    <w:p w14:paraId="30AA15AB" w14:textId="114404A4" w:rsidR="00C53F10" w:rsidRDefault="00E90A1D">
      <w:pPr>
        <w:pStyle w:val="Paragraphedeliste"/>
        <w:numPr>
          <w:ilvl w:val="0"/>
          <w:numId w:val="2"/>
        </w:numPr>
        <w:spacing w:after="60"/>
        <w:jc w:val="both"/>
      </w:pPr>
      <w:r>
        <w:t>Les</w:t>
      </w:r>
      <w:r w:rsidR="003D679F">
        <w:t xml:space="preserve"> recettes tirées des places commercialisées auprès des tiers ;</w:t>
      </w:r>
    </w:p>
    <w:p w14:paraId="080E0B14" w14:textId="408D649F" w:rsidR="00C53F10" w:rsidRDefault="00E90A1D">
      <w:pPr>
        <w:pStyle w:val="Paragraphedeliste"/>
        <w:numPr>
          <w:ilvl w:val="0"/>
          <w:numId w:val="2"/>
        </w:numPr>
        <w:spacing w:after="60"/>
        <w:jc w:val="both"/>
      </w:pPr>
      <w:r>
        <w:t>Les</w:t>
      </w:r>
      <w:r w:rsidR="003D679F">
        <w:t xml:space="preserve"> éventuelles autres recettes.</w:t>
      </w:r>
    </w:p>
    <w:p w14:paraId="1DCBBC75" w14:textId="77777777" w:rsidR="00C53F10" w:rsidRDefault="003D679F">
      <w:pPr>
        <w:spacing w:before="80" w:after="120"/>
        <w:jc w:val="both"/>
      </w:pPr>
      <w:r>
        <w:t>Le concessionnaire exploite le service à ses risques et périls.</w:t>
      </w:r>
    </w:p>
    <w:p w14:paraId="2C09A534" w14:textId="77777777" w:rsidR="00C53F10" w:rsidRDefault="003D679F">
      <w:pPr>
        <w:spacing w:after="120"/>
        <w:jc w:val="both"/>
      </w:pPr>
      <w:r>
        <w:t xml:space="preserve">En contrepartie de la mise à disposition des biens, le concessionnaire verse au concédant une redevance annuelle comprenant une redevance d’occupation fixe, arrêtée à 52 136 € HT (62 563,20 € TTC), et une </w:t>
      </w:r>
      <w:r>
        <w:lastRenderedPageBreak/>
        <w:t>redevance variable égale à 25 % de l’écart positif entre le résultat d’exploitation constaté et le résultat d’exploitation prévisionnel du compte d’exploitation prévisionnel (CEP), dans les conditions prévues à l’article 6.6 du projet de contrat. Ces montants ne font pas l’objet d’une proposition des candidats.</w:t>
      </w:r>
    </w:p>
    <w:p w14:paraId="0913876C" w14:textId="77777777" w:rsidR="00C53F10" w:rsidRDefault="003D679F">
      <w:pPr>
        <w:pStyle w:val="Titre2"/>
      </w:pPr>
      <w:bookmarkStart w:id="10" w:name="_Toc242191478"/>
      <w:r>
        <w:t>1.10. Informations relatives au personnel affecté au service</w:t>
      </w:r>
      <w:bookmarkEnd w:id="10"/>
    </w:p>
    <w:p w14:paraId="4D3EF14E" w14:textId="77777777" w:rsidR="00C53F10" w:rsidRDefault="003D679F">
      <w:pPr>
        <w:pStyle w:val="Titre3"/>
      </w:pPr>
      <w:r>
        <w:t>1.10.1. Situation du personnel</w:t>
      </w:r>
    </w:p>
    <w:p w14:paraId="02BC2A96" w14:textId="77777777" w:rsidR="00C53F10" w:rsidRDefault="003D679F">
      <w:pPr>
        <w:spacing w:after="120"/>
        <w:jc w:val="both"/>
      </w:pPr>
      <w:r>
        <w:t xml:space="preserve">Le service public de la crèche collective </w:t>
      </w:r>
      <w:proofErr w:type="spellStart"/>
      <w:r>
        <w:t>Vilgénis</w:t>
      </w:r>
      <w:proofErr w:type="spellEnd"/>
      <w:r>
        <w:t xml:space="preserve"> est actuellement exploité par la Fédération Léo Lagrange, en vertu d’une convention de délégation de service public arrivant à échéance le 31 août 2027.</w:t>
      </w:r>
    </w:p>
    <w:p w14:paraId="07BA6987" w14:textId="77777777" w:rsidR="00C53F10" w:rsidRDefault="003D679F">
      <w:pPr>
        <w:spacing w:after="120"/>
        <w:jc w:val="both"/>
      </w:pPr>
      <w:r>
        <w:t xml:space="preserve">Au regard des éléments dont il dispose, notamment la poursuite de la même activité dans les mêmes locaux et avec les mêmes équipements mis à disposition par la Ville, le concédant porte à la connaissance des candidats que les conditions d’application de l’article L. 1224-1 du Code du travail </w:t>
      </w:r>
      <w:r w:rsidRPr="001D2677">
        <w:rPr>
          <w:b/>
          <w:bCs/>
        </w:rPr>
        <w:t>lui paraissent réunies pour les salariés affectés au service.</w:t>
      </w:r>
      <w:r>
        <w:t xml:space="preserve"> Cette appréciation est donnée sous réserve de l’appréciation souveraine du juge judiciaire. Elle ne saurait engager la responsabilité du concédant.</w:t>
      </w:r>
    </w:p>
    <w:p w14:paraId="156F19E5" w14:textId="77777777" w:rsidR="00C53F10" w:rsidRDefault="003D679F">
      <w:pPr>
        <w:pStyle w:val="Titre3"/>
      </w:pPr>
      <w:r>
        <w:t>1.10.2. Liste du personnel</w:t>
      </w:r>
    </w:p>
    <w:p w14:paraId="624112FD" w14:textId="6849B8F8" w:rsidR="00C53F10" w:rsidRDefault="003D679F">
      <w:pPr>
        <w:keepNext/>
        <w:spacing w:after="120"/>
        <w:jc w:val="both"/>
      </w:pPr>
      <w:r>
        <w:t xml:space="preserve">Une liste anonymisée du personnel affecté au service figure en </w:t>
      </w:r>
      <w:r w:rsidRPr="00E90A1D">
        <w:rPr>
          <w:b/>
          <w:bCs/>
        </w:rPr>
        <w:t xml:space="preserve">annexe </w:t>
      </w:r>
      <w:r w:rsidR="005675F2">
        <w:rPr>
          <w:b/>
          <w:bCs/>
        </w:rPr>
        <w:t xml:space="preserve">n° 8 </w:t>
      </w:r>
      <w:r>
        <w:t xml:space="preserve">du </w:t>
      </w:r>
      <w:r w:rsidR="005675F2">
        <w:t>projet de contrat</w:t>
      </w:r>
      <w:r>
        <w:t>. Pour chaque salarié, elle précise, dans la mesure des informations disponibles :</w:t>
      </w:r>
    </w:p>
    <w:p w14:paraId="75825653" w14:textId="28F22DAD" w:rsidR="00C53F10" w:rsidRDefault="00E90A1D">
      <w:pPr>
        <w:pStyle w:val="Paragraphedeliste"/>
        <w:numPr>
          <w:ilvl w:val="0"/>
          <w:numId w:val="2"/>
        </w:numPr>
        <w:spacing w:after="60"/>
        <w:jc w:val="both"/>
      </w:pPr>
      <w:r>
        <w:t>L’emploi</w:t>
      </w:r>
      <w:r w:rsidR="003D679F">
        <w:t xml:space="preserve"> occupé et la qualification ;</w:t>
      </w:r>
    </w:p>
    <w:p w14:paraId="2436B194" w14:textId="3BA98F82" w:rsidR="00C53F10" w:rsidRDefault="00E90A1D">
      <w:pPr>
        <w:pStyle w:val="Paragraphedeliste"/>
        <w:numPr>
          <w:ilvl w:val="0"/>
          <w:numId w:val="2"/>
        </w:numPr>
        <w:spacing w:after="60"/>
        <w:jc w:val="both"/>
      </w:pPr>
      <w:r>
        <w:t>La</w:t>
      </w:r>
      <w:r w:rsidR="003D679F">
        <w:t xml:space="preserve"> classification et le coefficient conventionnels ;</w:t>
      </w:r>
    </w:p>
    <w:p w14:paraId="61474551" w14:textId="7C0EEF9A" w:rsidR="00C53F10" w:rsidRDefault="00E90A1D">
      <w:pPr>
        <w:pStyle w:val="Paragraphedeliste"/>
        <w:numPr>
          <w:ilvl w:val="0"/>
          <w:numId w:val="2"/>
        </w:numPr>
        <w:spacing w:after="60"/>
        <w:jc w:val="both"/>
      </w:pPr>
      <w:r>
        <w:t>La</w:t>
      </w:r>
      <w:r w:rsidR="003D679F">
        <w:t xml:space="preserve"> nature du contrat de travail et sa durée, s’il s’agit d’un CDD ;</w:t>
      </w:r>
    </w:p>
    <w:p w14:paraId="063B2A5E" w14:textId="0E898EA1" w:rsidR="00C53F10" w:rsidRDefault="00E90A1D">
      <w:pPr>
        <w:pStyle w:val="Paragraphedeliste"/>
        <w:numPr>
          <w:ilvl w:val="0"/>
          <w:numId w:val="2"/>
        </w:numPr>
        <w:spacing w:after="60"/>
        <w:jc w:val="both"/>
      </w:pPr>
      <w:r>
        <w:t>L’ancienneté</w:t>
      </w:r>
      <w:r w:rsidR="003D679F">
        <w:t xml:space="preserve"> ;</w:t>
      </w:r>
    </w:p>
    <w:p w14:paraId="26D507E1" w14:textId="57A426F2" w:rsidR="00C53F10" w:rsidRDefault="00E90A1D">
      <w:pPr>
        <w:pStyle w:val="Paragraphedeliste"/>
        <w:numPr>
          <w:ilvl w:val="0"/>
          <w:numId w:val="2"/>
        </w:numPr>
        <w:spacing w:after="60"/>
        <w:jc w:val="both"/>
      </w:pPr>
      <w:r>
        <w:t>La</w:t>
      </w:r>
      <w:r w:rsidR="003D679F">
        <w:t xml:space="preserve"> durée du travail et, pour les salariés intervenant sur plusieurs établissements, la quote-part de leur temps de travail consacrée au service ;</w:t>
      </w:r>
    </w:p>
    <w:p w14:paraId="559C1143" w14:textId="0386AC6E" w:rsidR="00C53F10" w:rsidRDefault="00E90A1D">
      <w:pPr>
        <w:pStyle w:val="Paragraphedeliste"/>
        <w:numPr>
          <w:ilvl w:val="0"/>
          <w:numId w:val="2"/>
        </w:numPr>
        <w:spacing w:after="60"/>
        <w:jc w:val="both"/>
      </w:pPr>
      <w:r>
        <w:t>La</w:t>
      </w:r>
      <w:r w:rsidR="003D679F">
        <w:t xml:space="preserve"> rémunération brute annuelle et ses éléments variables ;</w:t>
      </w:r>
    </w:p>
    <w:p w14:paraId="5F4F1EF7" w14:textId="09ACBEE9" w:rsidR="00C53F10" w:rsidRDefault="00E90A1D">
      <w:pPr>
        <w:pStyle w:val="Paragraphedeliste"/>
        <w:numPr>
          <w:ilvl w:val="0"/>
          <w:numId w:val="2"/>
        </w:numPr>
        <w:spacing w:after="60"/>
        <w:jc w:val="both"/>
      </w:pPr>
      <w:r>
        <w:t>La</w:t>
      </w:r>
      <w:r w:rsidR="003D679F">
        <w:t xml:space="preserve"> convention collective applicable ;</w:t>
      </w:r>
    </w:p>
    <w:p w14:paraId="7963CB95" w14:textId="71E6B1D7" w:rsidR="00C53F10" w:rsidRDefault="00E90A1D">
      <w:pPr>
        <w:pStyle w:val="Paragraphedeliste"/>
        <w:numPr>
          <w:ilvl w:val="0"/>
          <w:numId w:val="2"/>
        </w:numPr>
        <w:spacing w:after="60"/>
        <w:jc w:val="both"/>
      </w:pPr>
      <w:r>
        <w:t>Le</w:t>
      </w:r>
      <w:r w:rsidR="003D679F">
        <w:t xml:space="preserve"> cas échéant, la qualité de salarié protégé et les éventuelles situations d’absence de longue durée.</w:t>
      </w:r>
    </w:p>
    <w:p w14:paraId="04861BE1" w14:textId="77777777" w:rsidR="00C53F10" w:rsidRDefault="003D679F">
      <w:pPr>
        <w:spacing w:before="80" w:after="120"/>
        <w:jc w:val="both"/>
      </w:pPr>
      <w:r>
        <w:t>Cette liste est établie sur la base des données transmises par le délégataire actuel. Elle est communiquée à titre indicatif et n’a pas de valeur contractuelle. Le concédant ne garantit ni son exhaustivité ni son exactitude, et les candidats ne pourront se prévaloir d’aucune erreur ou omission à l’encontre du concédant.</w:t>
      </w:r>
    </w:p>
    <w:p w14:paraId="27E826E2" w14:textId="77777777" w:rsidR="00C53F10" w:rsidRDefault="003D679F">
      <w:pPr>
        <w:pStyle w:val="Titre3"/>
      </w:pPr>
      <w:r>
        <w:t>1.10.3. Prise en compte dans l’offre</w:t>
      </w:r>
    </w:p>
    <w:p w14:paraId="10288306" w14:textId="77777777" w:rsidR="00C53F10" w:rsidRDefault="003D679F">
      <w:pPr>
        <w:keepNext/>
        <w:spacing w:after="120"/>
        <w:jc w:val="both"/>
      </w:pPr>
      <w:r>
        <w:t>Il appartient à chaque candidat d’apprécier la situation et d’en tirer les conséquences dans son offre. En particulier :</w:t>
      </w:r>
    </w:p>
    <w:p w14:paraId="7D372543" w14:textId="7F7E6F9D" w:rsidR="00C53F10" w:rsidRDefault="00E90A1D">
      <w:pPr>
        <w:pStyle w:val="Paragraphedeliste"/>
        <w:numPr>
          <w:ilvl w:val="0"/>
          <w:numId w:val="2"/>
        </w:numPr>
        <w:spacing w:after="60"/>
        <w:jc w:val="both"/>
      </w:pPr>
      <w:r>
        <w:t>Le</w:t>
      </w:r>
      <w:r w:rsidR="003D679F">
        <w:t xml:space="preserve"> compte d’exploitation prévisionnel (annexe n°1 du projet de contrat) fait apparaître les charges de personnel correspondant à l’organisation proposée ;</w:t>
      </w:r>
    </w:p>
    <w:p w14:paraId="479D825C" w14:textId="26A5C799" w:rsidR="00C53F10" w:rsidRDefault="00E90A1D">
      <w:pPr>
        <w:pStyle w:val="Paragraphedeliste"/>
        <w:numPr>
          <w:ilvl w:val="0"/>
          <w:numId w:val="2"/>
        </w:numPr>
        <w:spacing w:after="60"/>
        <w:jc w:val="both"/>
      </w:pPr>
      <w:r>
        <w:t>Le</w:t>
      </w:r>
      <w:r w:rsidR="003D679F">
        <w:t xml:space="preserve"> mémoire technique décrit l’organisation des ressources humaines envisagée et les modalités retenues pour assurer la continuité de l’accueil des enfants lors du changement d’exploitant.</w:t>
      </w:r>
    </w:p>
    <w:p w14:paraId="009EE98E" w14:textId="77777777" w:rsidR="00C53F10" w:rsidRDefault="003D679F">
      <w:pPr>
        <w:pStyle w:val="Titre3"/>
      </w:pPr>
      <w:r>
        <w:t>1.10.4. Confidentialité</w:t>
      </w:r>
    </w:p>
    <w:p w14:paraId="6B728FCD" w14:textId="77777777" w:rsidR="00C53F10" w:rsidRDefault="003D679F">
      <w:pPr>
        <w:spacing w:after="120"/>
        <w:jc w:val="both"/>
      </w:pPr>
      <w:r>
        <w:t>Les informations relatives au personnel ne peuvent être utilisées par les candidats qu’aux seules fins de l’élaboration de leur offre. Toute diffusion à des tiers est interdite. Pendant la procédure, les candidats s’abstiennent de toute démarche directe auprès du personnel du délégataire en place. Leurs questions sont adressées au concédant par la voie de la plateforme de dématérialisation, selon les modalités prévues à l’article 5 du présent règlement (Renseignements complémentaires).</w:t>
      </w:r>
    </w:p>
    <w:p w14:paraId="2503938D" w14:textId="77777777" w:rsidR="00C53F10" w:rsidRDefault="003D679F">
      <w:pPr>
        <w:pStyle w:val="Titre2"/>
      </w:pPr>
      <w:bookmarkStart w:id="11" w:name="_Toc242191479"/>
      <w:r>
        <w:t>1.11. Contenu du dossier de consultation</w:t>
      </w:r>
      <w:bookmarkEnd w:id="11"/>
    </w:p>
    <w:p w14:paraId="154052C7" w14:textId="77777777" w:rsidR="00C53F10" w:rsidRDefault="003D679F">
      <w:pPr>
        <w:keepNext/>
        <w:spacing w:after="120"/>
        <w:jc w:val="both"/>
      </w:pPr>
      <w:r>
        <w:t>Le dossier de consultation des entreprises (DCE) contient les pièces suivantes :</w:t>
      </w:r>
    </w:p>
    <w:p w14:paraId="5FB46BDD" w14:textId="7625EB2E" w:rsidR="00C53F10" w:rsidRDefault="00E90A1D">
      <w:pPr>
        <w:pStyle w:val="Paragraphedeliste"/>
        <w:numPr>
          <w:ilvl w:val="0"/>
          <w:numId w:val="2"/>
        </w:numPr>
        <w:spacing w:after="60"/>
        <w:jc w:val="both"/>
      </w:pPr>
      <w:r>
        <w:t>Le</w:t>
      </w:r>
      <w:r w:rsidR="003D679F">
        <w:t xml:space="preserve"> </w:t>
      </w:r>
      <w:r>
        <w:t>présent règlement de la consultation (RC) ;</w:t>
      </w:r>
    </w:p>
    <w:p w14:paraId="279AF9BE" w14:textId="7FF18CB5" w:rsidR="00C53F10" w:rsidRDefault="00E90A1D">
      <w:pPr>
        <w:pStyle w:val="Paragraphedeliste"/>
        <w:numPr>
          <w:ilvl w:val="0"/>
          <w:numId w:val="2"/>
        </w:numPr>
        <w:spacing w:after="60"/>
        <w:jc w:val="both"/>
      </w:pPr>
      <w:r>
        <w:lastRenderedPageBreak/>
        <w:t>Le projet de contrat et ses huit (8) annexes, dont deux (2) non publiées dans le cadre de la procédure (annexes n°4 et n°5) :</w:t>
      </w:r>
    </w:p>
    <w:p w14:paraId="7F6BBC8B" w14:textId="19E63DA8" w:rsidR="00C53F10" w:rsidRDefault="00E90A1D">
      <w:pPr>
        <w:pStyle w:val="Paragraphedeliste"/>
        <w:numPr>
          <w:ilvl w:val="1"/>
          <w:numId w:val="2"/>
        </w:numPr>
        <w:spacing w:after="60"/>
        <w:jc w:val="both"/>
      </w:pPr>
      <w:r>
        <w:t>Annexe n°1 : compte d’exploitation prévisionnel (CEP) de la concession (fichier Excel à compléter par le candidat) ;</w:t>
      </w:r>
    </w:p>
    <w:p w14:paraId="632D2E7C" w14:textId="20B22144" w:rsidR="00C53F10" w:rsidRDefault="00E90A1D">
      <w:pPr>
        <w:pStyle w:val="Paragraphedeliste"/>
        <w:numPr>
          <w:ilvl w:val="1"/>
          <w:numId w:val="2"/>
        </w:numPr>
        <w:spacing w:after="60"/>
        <w:jc w:val="both"/>
      </w:pPr>
      <w:r>
        <w:t>Annexe</w:t>
      </w:r>
      <w:r w:rsidR="003D679F">
        <w:t xml:space="preserve"> n°2 : plans de l’équipement ;</w:t>
      </w:r>
    </w:p>
    <w:p w14:paraId="575D2CFA" w14:textId="291309BE" w:rsidR="00C53F10" w:rsidRDefault="00E90A1D">
      <w:pPr>
        <w:pStyle w:val="Paragraphedeliste"/>
        <w:numPr>
          <w:ilvl w:val="1"/>
          <w:numId w:val="2"/>
        </w:numPr>
        <w:spacing w:after="60"/>
        <w:jc w:val="both"/>
      </w:pPr>
      <w:r>
        <w:t>Annexe</w:t>
      </w:r>
      <w:r w:rsidR="003D679F">
        <w:t xml:space="preserve"> n°3 : engagement social du candidat ;</w:t>
      </w:r>
    </w:p>
    <w:p w14:paraId="2C935C2C" w14:textId="1C7E72CB" w:rsidR="00C53F10" w:rsidRDefault="00E90A1D">
      <w:pPr>
        <w:pStyle w:val="Paragraphedeliste"/>
        <w:numPr>
          <w:ilvl w:val="1"/>
          <w:numId w:val="2"/>
        </w:numPr>
        <w:spacing w:after="60"/>
        <w:jc w:val="both"/>
      </w:pPr>
      <w:r>
        <w:t>Annexe</w:t>
      </w:r>
      <w:r w:rsidR="003D679F">
        <w:t xml:space="preserve"> n°4 : projet d’établissement (non publiée : il sera celui du candidat retenu à l’issue des négociations) ;</w:t>
      </w:r>
    </w:p>
    <w:p w14:paraId="2C43C64C" w14:textId="1540177A" w:rsidR="00C53F10" w:rsidRDefault="00E90A1D">
      <w:pPr>
        <w:pStyle w:val="Paragraphedeliste"/>
        <w:numPr>
          <w:ilvl w:val="1"/>
          <w:numId w:val="2"/>
        </w:numPr>
        <w:spacing w:after="60"/>
        <w:jc w:val="both"/>
      </w:pPr>
      <w:r>
        <w:t>Annexe</w:t>
      </w:r>
      <w:r w:rsidR="003D679F">
        <w:t xml:space="preserve"> n°5 : inventaire contradictoire de rentrée (non publiée : il sera établi lors de la remise des installations au prochain concessionnaire) ;</w:t>
      </w:r>
    </w:p>
    <w:p w14:paraId="3F1B21EF" w14:textId="38603D41" w:rsidR="00C53F10" w:rsidRDefault="00E90A1D">
      <w:pPr>
        <w:pStyle w:val="Paragraphedeliste"/>
        <w:numPr>
          <w:ilvl w:val="1"/>
          <w:numId w:val="2"/>
        </w:numPr>
        <w:spacing w:after="60"/>
        <w:jc w:val="both"/>
      </w:pPr>
      <w:r>
        <w:t>Annexe n°6 : règlement intérieur des crèches et multi-accueils du concédant ;</w:t>
      </w:r>
    </w:p>
    <w:p w14:paraId="0EF19CE0" w14:textId="21A644AF" w:rsidR="00C53F10" w:rsidRDefault="00E90A1D">
      <w:pPr>
        <w:pStyle w:val="Paragraphedeliste"/>
        <w:numPr>
          <w:ilvl w:val="1"/>
          <w:numId w:val="2"/>
        </w:numPr>
        <w:spacing w:after="60"/>
        <w:jc w:val="both"/>
      </w:pPr>
      <w:r>
        <w:t>Annexe n°7 : projet éducatif de territoire (PEDT) ;</w:t>
      </w:r>
    </w:p>
    <w:p w14:paraId="2A829C9A" w14:textId="1CE74B52" w:rsidR="0087712C" w:rsidRDefault="000E173A" w:rsidP="005675F2">
      <w:pPr>
        <w:pStyle w:val="Paragraphedeliste"/>
        <w:numPr>
          <w:ilvl w:val="1"/>
          <w:numId w:val="2"/>
        </w:numPr>
        <w:spacing w:after="60"/>
        <w:jc w:val="both"/>
      </w:pPr>
      <w:r>
        <w:t>Annexe n°</w:t>
      </w:r>
      <w:r w:rsidR="005675F2">
        <w:t>8</w:t>
      </w:r>
      <w:r>
        <w:t xml:space="preserve"> : liste du personnel affecté au service et masse salariale</w:t>
      </w:r>
      <w:r w:rsidR="005675F2">
        <w:t>.</w:t>
      </w:r>
    </w:p>
    <w:p w14:paraId="661C090D" w14:textId="77777777" w:rsidR="00C53F10" w:rsidRDefault="003D679F">
      <w:pPr>
        <w:spacing w:before="80" w:after="120"/>
        <w:jc w:val="both"/>
      </w:pPr>
      <w:r>
        <w:t>Le concédant se réserve le droit d’apporter, au plus tard 6 jours avant la date limite fixée pour la remise des offres, des modifications non substantielles au contenu du dossier de consultation. Les dates de remise des offres pourront être reportées pour tenir compte de ces éventuelles modifications.</w:t>
      </w:r>
    </w:p>
    <w:p w14:paraId="5C942318" w14:textId="77777777" w:rsidR="00C53F10" w:rsidRDefault="003D679F">
      <w:pPr>
        <w:spacing w:after="120"/>
        <w:jc w:val="both"/>
      </w:pPr>
      <w:r>
        <w:t>Aucune indemnisation ne sera due, et aucune réclamation ne sera acceptée, en raison du caractère éventuellement incomplet, inexact ou erroné de certaines données du dossier de consultation ou de son éventuelle modification en cours de consultation, ainsi qu’au titre des études et prestations effectuées par les opérateurs économiques pour la remise et les éventuelles négociations ultérieures.</w:t>
      </w:r>
    </w:p>
    <w:p w14:paraId="3A1334B9" w14:textId="77777777" w:rsidR="00C53F10" w:rsidRDefault="003D679F">
      <w:pPr>
        <w:pStyle w:val="Titre2"/>
      </w:pPr>
      <w:bookmarkStart w:id="12" w:name="_Toc242191480"/>
      <w:r>
        <w:t>1.12. Modalités de téléchargement du dossier de consultation des entreprises</w:t>
      </w:r>
      <w:bookmarkEnd w:id="12"/>
    </w:p>
    <w:p w14:paraId="0DDA715B" w14:textId="77777777" w:rsidR="00C53F10" w:rsidRDefault="003D679F">
      <w:pPr>
        <w:spacing w:after="120"/>
        <w:jc w:val="both"/>
      </w:pPr>
      <w:r>
        <w:t>Le dossier de consultation est entièrement et gratuitement téléchargeable sur le profil d’acheteur de la Ville de Massy (cf. article 4).</w:t>
      </w:r>
    </w:p>
    <w:p w14:paraId="103B62DD" w14:textId="77777777" w:rsidR="00C53F10" w:rsidRDefault="003D679F">
      <w:pPr>
        <w:spacing w:after="120"/>
        <w:jc w:val="both"/>
      </w:pPr>
      <w:r>
        <w:t>Lors du téléchargement du DCE, le candidat doit renseigner l’ensemble des champs (nom de l’entreprise, adresse électronique, nom d’un correspondant…) afin de bénéficier automatiquement de toutes les informations complémentaires diffusées, le cas échéant, lors du déroulement de la présente consultation.</w:t>
      </w:r>
    </w:p>
    <w:p w14:paraId="514C719B" w14:textId="77777777" w:rsidR="00C53F10" w:rsidRDefault="003D679F">
      <w:pPr>
        <w:spacing w:after="120"/>
        <w:jc w:val="both"/>
      </w:pPr>
      <w:r>
        <w:t>La responsabilité du concédant ne saurait être recherchée en cas d’impossibilité ou d’incident de transmission résultant du défaut ou de la fourniture de renseignements erronés.</w:t>
      </w:r>
    </w:p>
    <w:p w14:paraId="7CAF1F6C" w14:textId="77777777" w:rsidR="00C53F10" w:rsidRDefault="003D679F">
      <w:pPr>
        <w:pStyle w:val="Titre2"/>
      </w:pPr>
      <w:bookmarkStart w:id="13" w:name="_Toc242191481"/>
      <w:r>
        <w:t>1.13. Présentation des candidatures et des offres</w:t>
      </w:r>
      <w:bookmarkEnd w:id="13"/>
    </w:p>
    <w:p w14:paraId="65556373" w14:textId="77777777" w:rsidR="00C53F10" w:rsidRDefault="003D679F">
      <w:pPr>
        <w:spacing w:after="120"/>
        <w:jc w:val="both"/>
      </w:pPr>
      <w:r>
        <w:t>Les offres des soumissionnaires sont entièrement rédigées en langue française et exprimées en euros.</w:t>
      </w:r>
    </w:p>
    <w:p w14:paraId="17D51E4D" w14:textId="77777777" w:rsidR="00C53F10" w:rsidRDefault="003D679F">
      <w:pPr>
        <w:spacing w:after="120"/>
        <w:jc w:val="both"/>
      </w:pPr>
      <w:r>
        <w:t>Si les offres sont rédigées dans une autre langue, elles doivent être accompagnées d’une traduction en français, certifiée conforme à l’original par un traducteur assermenté ; cette traduction doit concerner l’ensemble des documents remis dans l’offre.</w:t>
      </w:r>
    </w:p>
    <w:p w14:paraId="65F83C8C" w14:textId="77777777" w:rsidR="00C53F10" w:rsidRDefault="003D679F">
      <w:pPr>
        <w:spacing w:after="120"/>
        <w:jc w:val="both"/>
      </w:pPr>
      <w:r>
        <w:t>Chaque soumissionnaire produit un dossier complet comprenant les pièces suivantes, datées et signées par lui.</w:t>
      </w:r>
    </w:p>
    <w:p w14:paraId="7F37B91F" w14:textId="77777777" w:rsidR="00C53F10" w:rsidRDefault="003D679F">
      <w:pPr>
        <w:keepNext/>
        <w:spacing w:after="120"/>
        <w:jc w:val="both"/>
      </w:pPr>
      <w:r>
        <w:rPr>
          <w:b/>
          <w:bCs/>
        </w:rPr>
        <w:t>Éléments de candidature :</w:t>
      </w:r>
    </w:p>
    <w:p w14:paraId="17C5DA8B" w14:textId="4EAD6DEA" w:rsidR="00C53F10" w:rsidRDefault="00E90A1D" w:rsidP="000D4914">
      <w:pPr>
        <w:pStyle w:val="Paragraphedeliste"/>
        <w:numPr>
          <w:ilvl w:val="0"/>
          <w:numId w:val="2"/>
        </w:numPr>
        <w:spacing w:after="60"/>
        <w:jc w:val="both"/>
      </w:pPr>
      <w:r>
        <w:t>Lettre</w:t>
      </w:r>
      <w:r w:rsidR="003D679F">
        <w:t xml:space="preserve"> de candidature (formulaire DC1 ou équivalent) ou document unique de marché européen (DUME) ;</w:t>
      </w:r>
    </w:p>
    <w:p w14:paraId="1C5DB8C7" w14:textId="6809FB73" w:rsidR="00C53F10" w:rsidRDefault="00E90A1D">
      <w:pPr>
        <w:pStyle w:val="Paragraphedeliste"/>
        <w:numPr>
          <w:ilvl w:val="0"/>
          <w:numId w:val="2"/>
        </w:numPr>
        <w:spacing w:after="60"/>
        <w:jc w:val="both"/>
      </w:pPr>
      <w:r>
        <w:t>Pouvoir</w:t>
      </w:r>
      <w:r w:rsidR="003D679F">
        <w:t xml:space="preserve"> de la ou des personnes habilitées à engager la société ou le groupement ;</w:t>
      </w:r>
    </w:p>
    <w:p w14:paraId="52865933" w14:textId="4320C75C" w:rsidR="00C53F10" w:rsidRDefault="00E90A1D">
      <w:pPr>
        <w:pStyle w:val="Paragraphedeliste"/>
        <w:numPr>
          <w:ilvl w:val="0"/>
          <w:numId w:val="2"/>
        </w:numPr>
        <w:spacing w:after="60"/>
        <w:jc w:val="both"/>
      </w:pPr>
      <w:r>
        <w:t>Extrait</w:t>
      </w:r>
      <w:r w:rsidR="003D679F">
        <w:t xml:space="preserve"> </w:t>
      </w:r>
      <w:proofErr w:type="spellStart"/>
      <w:r w:rsidR="003D679F">
        <w:t>Kbis</w:t>
      </w:r>
      <w:proofErr w:type="spellEnd"/>
      <w:r w:rsidR="003D679F">
        <w:t xml:space="preserve"> ou équivalent datant de moins de 3 mois ;</w:t>
      </w:r>
    </w:p>
    <w:p w14:paraId="0718C822" w14:textId="46C5E739" w:rsidR="00C53F10" w:rsidRDefault="00E90A1D">
      <w:pPr>
        <w:pStyle w:val="Paragraphedeliste"/>
        <w:numPr>
          <w:ilvl w:val="0"/>
          <w:numId w:val="2"/>
        </w:numPr>
        <w:spacing w:after="60"/>
        <w:jc w:val="both"/>
      </w:pPr>
      <w:r>
        <w:t>Pour</w:t>
      </w:r>
      <w:r w:rsidR="003D679F">
        <w:t xml:space="preserve"> les personnes physiques ou morales ayant commencé leur activité depuis moins d’un an, un récépissé de dépôt de déclaration auprès d’un centre de formalités des entreprises ;</w:t>
      </w:r>
    </w:p>
    <w:p w14:paraId="5CC26238" w14:textId="2267D9A8" w:rsidR="00C53F10" w:rsidRDefault="00E90A1D">
      <w:pPr>
        <w:pStyle w:val="Paragraphedeliste"/>
        <w:numPr>
          <w:ilvl w:val="0"/>
          <w:numId w:val="2"/>
        </w:numPr>
        <w:spacing w:after="60"/>
        <w:jc w:val="both"/>
      </w:pPr>
      <w:r>
        <w:t>Les</w:t>
      </w:r>
      <w:r w:rsidR="003D679F">
        <w:t xml:space="preserve"> attestations et certificats délivrés par les administrations et organismes compétents, justifiant que le candidat est en règle au regard de ses obligations fiscales et sociales ;</w:t>
      </w:r>
    </w:p>
    <w:p w14:paraId="283EDC15" w14:textId="30D4E060" w:rsidR="00C53F10" w:rsidRDefault="00E90A1D">
      <w:pPr>
        <w:pStyle w:val="Paragraphedeliste"/>
        <w:numPr>
          <w:ilvl w:val="0"/>
          <w:numId w:val="2"/>
        </w:numPr>
        <w:spacing w:after="60"/>
        <w:jc w:val="both"/>
      </w:pPr>
      <w:r>
        <w:t>Déclaration</w:t>
      </w:r>
      <w:r w:rsidR="003D679F">
        <w:t xml:space="preserve"> sur l’honneur attestant que le candidat :</w:t>
      </w:r>
    </w:p>
    <w:p w14:paraId="0E8DCE06" w14:textId="207B9E84" w:rsidR="00C53F10" w:rsidRDefault="00E90A1D">
      <w:pPr>
        <w:pStyle w:val="Paragraphedeliste"/>
        <w:numPr>
          <w:ilvl w:val="1"/>
          <w:numId w:val="2"/>
        </w:numPr>
        <w:spacing w:after="60"/>
        <w:jc w:val="both"/>
      </w:pPr>
      <w:r>
        <w:lastRenderedPageBreak/>
        <w:t>N’entre</w:t>
      </w:r>
      <w:r w:rsidR="003D679F">
        <w:t xml:space="preserve"> dans aucun des cas d’interdiction de soumissionner prévus aux articles L. 3123-1 et suivants du Code de la commande publique ;</w:t>
      </w:r>
    </w:p>
    <w:p w14:paraId="71257F17" w14:textId="70B8756C" w:rsidR="00C53F10" w:rsidRDefault="00E90A1D">
      <w:pPr>
        <w:pStyle w:val="Paragraphedeliste"/>
        <w:numPr>
          <w:ilvl w:val="1"/>
          <w:numId w:val="2"/>
        </w:numPr>
        <w:spacing w:after="60"/>
        <w:jc w:val="both"/>
      </w:pPr>
      <w:r>
        <w:t>N’est</w:t>
      </w:r>
      <w:r w:rsidR="003D679F">
        <w:t xml:space="preserve"> pas en liquidation judiciaire et, s’il est en redressement judiciaire, produit la copie du ou des jugement(s) prononcé(s) à cet effet ;</w:t>
      </w:r>
    </w:p>
    <w:p w14:paraId="46897710" w14:textId="4048F414" w:rsidR="00C53F10" w:rsidRDefault="00E90A1D">
      <w:pPr>
        <w:pStyle w:val="Paragraphedeliste"/>
        <w:numPr>
          <w:ilvl w:val="1"/>
          <w:numId w:val="2"/>
        </w:numPr>
        <w:spacing w:after="60"/>
        <w:jc w:val="both"/>
      </w:pPr>
      <w:r>
        <w:t>Ne</w:t>
      </w:r>
      <w:r w:rsidR="003D679F">
        <w:t xml:space="preserve"> tombe pas sous le coup d’une interdiction de concourir à la présente consultation, ou d’une interdiction équivalente pour un candidat étranger ;</w:t>
      </w:r>
    </w:p>
    <w:p w14:paraId="22A97542" w14:textId="001AF88D" w:rsidR="00C53F10" w:rsidRDefault="00E90A1D">
      <w:pPr>
        <w:pStyle w:val="Paragraphedeliste"/>
        <w:numPr>
          <w:ilvl w:val="0"/>
          <w:numId w:val="2"/>
        </w:numPr>
        <w:spacing w:after="60"/>
        <w:jc w:val="both"/>
      </w:pPr>
      <w:r>
        <w:t>D</w:t>
      </w:r>
      <w:r w:rsidR="003D679F">
        <w:t>ocuments attestant du respect des articles L. 5212-1 à L. 5212-5 du Code du travail relatifs à l’emploi des travailleurs handicapés, des mutilés de guerre et assimilés : le candidat, s’il est assujetti à l’obligation définie aux articles L. 5212-1 à L. 5212-4 du Code du travail, adresse l’attestation de souscription, au cours de l’année précédant celle du lancement de la consultation, de la déclaration visée à l’article L. 5212-5 du même code, ou, s’il en est redevable, une attestation de versement de la contribution visée aux articles L. 5212-9 à L. 5212-11 du Code du travail ;</w:t>
      </w:r>
    </w:p>
    <w:p w14:paraId="5A0433A6" w14:textId="2A159643" w:rsidR="00C53F10" w:rsidRDefault="00E90A1D">
      <w:pPr>
        <w:pStyle w:val="Paragraphedeliste"/>
        <w:numPr>
          <w:ilvl w:val="0"/>
          <w:numId w:val="2"/>
        </w:numPr>
        <w:spacing w:after="60"/>
        <w:jc w:val="both"/>
      </w:pPr>
      <w:r>
        <w:t>Attestations</w:t>
      </w:r>
      <w:r w:rsidR="003D679F">
        <w:t xml:space="preserve"> d’assurances, notamment celles couvrant les responsabilités civile et professionnelle (précisant le niveau de couverture en euros), dont disposent le candidat ou chaque membre du groupement ;</w:t>
      </w:r>
    </w:p>
    <w:p w14:paraId="6E3E5CDD" w14:textId="014E2ACB" w:rsidR="00C53F10" w:rsidRDefault="00E90A1D">
      <w:pPr>
        <w:pStyle w:val="Paragraphedeliste"/>
        <w:numPr>
          <w:ilvl w:val="0"/>
          <w:numId w:val="2"/>
        </w:numPr>
        <w:spacing w:after="60"/>
        <w:jc w:val="both"/>
      </w:pPr>
      <w:r>
        <w:t>Déclaration</w:t>
      </w:r>
      <w:r w:rsidR="003D679F">
        <w:t xml:space="preserve"> du candidat obligatoirement signée et renseignée dans toutes ses rubriques ; à cet effet, l’imprimé DC2 est recommandé. Elle comprend notamment les renseignements permettant d’évaluer les capacités professionnelles, techniques et financières de l’entreprise ;</w:t>
      </w:r>
    </w:p>
    <w:p w14:paraId="697D8A43" w14:textId="703F2A73" w:rsidR="00C53F10" w:rsidRDefault="00E90A1D">
      <w:pPr>
        <w:pStyle w:val="Paragraphedeliste"/>
        <w:numPr>
          <w:ilvl w:val="0"/>
          <w:numId w:val="2"/>
        </w:numPr>
        <w:spacing w:after="60"/>
        <w:jc w:val="both"/>
      </w:pPr>
      <w:r>
        <w:t>Bilans</w:t>
      </w:r>
      <w:r w:rsidR="003D679F">
        <w:t xml:space="preserve">, comptes de résultat et annexes certifiés, ou documents équivalents, sur les trois dernières années pour lesquelles l’établissement de ces documents est obligatoire en vertu de la loi. Si le candidat est une société filiale, les éléments financiers (bilans, comptes de résultat et annexes certifiés) et l’extrait </w:t>
      </w:r>
      <w:proofErr w:type="spellStart"/>
      <w:r w:rsidR="003D679F">
        <w:t>Kbis</w:t>
      </w:r>
      <w:proofErr w:type="spellEnd"/>
      <w:r w:rsidR="003D679F">
        <w:t xml:space="preserve"> sont fournis par la maison-mère ;</w:t>
      </w:r>
    </w:p>
    <w:p w14:paraId="102E0F79" w14:textId="087A8B36" w:rsidR="00C53F10" w:rsidRDefault="00E90A1D">
      <w:pPr>
        <w:pStyle w:val="Paragraphedeliste"/>
        <w:numPr>
          <w:ilvl w:val="0"/>
          <w:numId w:val="2"/>
        </w:numPr>
        <w:spacing w:after="60"/>
        <w:jc w:val="both"/>
      </w:pPr>
      <w:r>
        <w:t>Si</w:t>
      </w:r>
      <w:r w:rsidR="003D679F">
        <w:t xml:space="preserve"> l’opérateur économique est une société filiale, la convention de gestion avec la société-mère (notamment les détails de calcul des frais de structure refacturés à la filiale) ;</w:t>
      </w:r>
    </w:p>
    <w:p w14:paraId="52145458" w14:textId="60A70915" w:rsidR="00C53F10" w:rsidRDefault="00E90A1D">
      <w:pPr>
        <w:pStyle w:val="Paragraphedeliste"/>
        <w:numPr>
          <w:ilvl w:val="0"/>
          <w:numId w:val="2"/>
        </w:numPr>
        <w:spacing w:after="60"/>
        <w:jc w:val="both"/>
      </w:pPr>
      <w:r>
        <w:t>Schéma</w:t>
      </w:r>
      <w:r w:rsidR="003D679F">
        <w:t xml:space="preserve"> de l’actionnariat de la société candidate et, le cas échéant, solidité financière de ses gérants ;</w:t>
      </w:r>
    </w:p>
    <w:p w14:paraId="70F4A76E" w14:textId="3F61F56D" w:rsidR="00C53F10" w:rsidRDefault="00E90A1D">
      <w:pPr>
        <w:pStyle w:val="Paragraphedeliste"/>
        <w:numPr>
          <w:ilvl w:val="0"/>
          <w:numId w:val="2"/>
        </w:numPr>
        <w:spacing w:after="60"/>
        <w:jc w:val="both"/>
      </w:pPr>
      <w:r>
        <w:t>Un</w:t>
      </w:r>
      <w:r w:rsidR="003D679F">
        <w:t xml:space="preserve"> mémoire présentant l’opérateur économique et son savoir-faire en matière d’exploitation du service en rapport avec l’objet de la concession ;</w:t>
      </w:r>
    </w:p>
    <w:p w14:paraId="74C823A4" w14:textId="28069DB0" w:rsidR="00C53F10" w:rsidRDefault="00E90A1D">
      <w:pPr>
        <w:pStyle w:val="Paragraphedeliste"/>
        <w:numPr>
          <w:ilvl w:val="0"/>
          <w:numId w:val="2"/>
        </w:numPr>
        <w:spacing w:after="60"/>
        <w:jc w:val="both"/>
      </w:pPr>
      <w:r>
        <w:t>La</w:t>
      </w:r>
      <w:r w:rsidR="003D679F">
        <w:t xml:space="preserve"> présentation des références pertinentes du candidat en rapport avec l’objet de la concession de service public, ou tout autre document démontrant son aptitude à assurer l’exécution du service public concerné ;</w:t>
      </w:r>
    </w:p>
    <w:p w14:paraId="3D0C2E02" w14:textId="38D30DD1" w:rsidR="00C53F10" w:rsidRDefault="00E90A1D">
      <w:pPr>
        <w:pStyle w:val="Paragraphedeliste"/>
        <w:numPr>
          <w:ilvl w:val="0"/>
          <w:numId w:val="2"/>
        </w:numPr>
        <w:spacing w:after="60"/>
        <w:jc w:val="both"/>
      </w:pPr>
      <w:r>
        <w:t>Les</w:t>
      </w:r>
      <w:r w:rsidR="003D679F">
        <w:t xml:space="preserve"> renseignements relatifs à la nature de l’activité, aux qualifications professionnelles, aux moyens techniques et humains dont l’opérateur économique dispose pour assurer la continuité du service public et l’égalité des usagers devant le service public ;</w:t>
      </w:r>
    </w:p>
    <w:p w14:paraId="174DDE11" w14:textId="285F1677" w:rsidR="00C53F10" w:rsidRDefault="00E90A1D">
      <w:pPr>
        <w:pStyle w:val="Paragraphedeliste"/>
        <w:numPr>
          <w:ilvl w:val="0"/>
          <w:numId w:val="2"/>
        </w:numPr>
        <w:spacing w:after="60"/>
        <w:jc w:val="both"/>
      </w:pPr>
      <w:r>
        <w:t>Les</w:t>
      </w:r>
      <w:r w:rsidR="003D679F">
        <w:t xml:space="preserve"> références acquises en matière d’exploitation et de gestion de services comparables au service concédé (crèches, multi-accueils) ou toute autre référence pertinente, au cours des 5 dernières années, en indiquant le montant des prestations exécutées, le lieu et l’époque d’exécution. Si l’opérateur économique gère actuellement des prestations similaires à l’objet de la concession, il précise leur localisation et les caractéristiques principales de son activité. Il pourra produire des certificats de capacité ou des attestations de bonne exécution.</w:t>
      </w:r>
    </w:p>
    <w:p w14:paraId="214CF5C3" w14:textId="77777777" w:rsidR="00C53F10" w:rsidRDefault="003D679F">
      <w:pPr>
        <w:keepNext/>
        <w:spacing w:before="120" w:after="120"/>
        <w:jc w:val="both"/>
      </w:pPr>
      <w:r>
        <w:rPr>
          <w:b/>
          <w:bCs/>
        </w:rPr>
        <w:t>Éléments d’offre :</w:t>
      </w:r>
    </w:p>
    <w:p w14:paraId="207D0D89" w14:textId="6980DF3D" w:rsidR="00C53F10" w:rsidRDefault="003D679F">
      <w:pPr>
        <w:pStyle w:val="Paragraphedeliste"/>
        <w:numPr>
          <w:ilvl w:val="0"/>
          <w:numId w:val="2"/>
        </w:numPr>
        <w:spacing w:after="60"/>
        <w:jc w:val="both"/>
      </w:pPr>
      <w:proofErr w:type="gramStart"/>
      <w:r>
        <w:t>le</w:t>
      </w:r>
      <w:proofErr w:type="gramEnd"/>
      <w:r>
        <w:t xml:space="preserve"> projet de contrat, daté, signé et complété des items encadrés à cet effet (notamment le montant de la majoration de compensation proposé aux articles 3.5 et 6.5), avec ses annexes n°1 (CEP) et n°3 (engagement social) ; les annexes n°2, 6, 7 et 8 sont remises pour information, l’annexe n°4 (projet d’établissement) est constituée par le candidat dans son mémoire technique et l’annexe n°5 sera établie lors de la remise des installations ;</w:t>
      </w:r>
    </w:p>
    <w:p w14:paraId="787D167C" w14:textId="18EF80D2" w:rsidR="00C53F10" w:rsidRDefault="003D679F">
      <w:pPr>
        <w:pStyle w:val="Paragraphedeliste"/>
        <w:numPr>
          <w:ilvl w:val="0"/>
          <w:numId w:val="2"/>
        </w:numPr>
        <w:spacing w:after="60"/>
        <w:jc w:val="both"/>
      </w:pPr>
      <w:proofErr w:type="gramStart"/>
      <w:r>
        <w:t>le</w:t>
      </w:r>
      <w:proofErr w:type="gramEnd"/>
      <w:r>
        <w:t xml:space="preserve"> compte d’exploitation prévisionnel (CEP) sur la durée de six (6) ans et son annexe littéraire, complétés, datés et signés. La redevance étant fixée par le concédant (article 6.6 du projet de contrat), le CEP la reprend pour les montants indiqués à l’article 1.9 du présent règlement ; Le CEP ne comprend pas l’option de réservation de places (article 3.5 du projet de contrat).</w:t>
      </w:r>
    </w:p>
    <w:p w14:paraId="372DB3DC" w14:textId="10011DB3" w:rsidR="000D4914" w:rsidRDefault="000D4914">
      <w:pPr>
        <w:pStyle w:val="Paragraphedeliste"/>
        <w:numPr>
          <w:ilvl w:val="0"/>
          <w:numId w:val="2"/>
        </w:numPr>
        <w:spacing w:after="60"/>
        <w:jc w:val="both"/>
      </w:pPr>
      <w:r>
        <w:t xml:space="preserve">Le candidat renseigne, dans le projet de contrat (articles 3.5 et 6.5), le montant annuel de la majoration de compensation qu’il propose en cas d’exercice par le concédant de l’option de réservation de places à </w:t>
      </w:r>
      <w:r>
        <w:lastRenderedPageBreak/>
        <w:t>tarif préférentiel, pour chaque nombre de places réservées (de 1 à 5). Cette majoration est proposée hors CEP et n’affecte pas la redevance d’occupation ; elle engage le candidat pour toute la durée du contrat. L’option pourra être exercée par le concédant dans les conditions de l’article 3.5 du projet de contrat.</w:t>
      </w:r>
    </w:p>
    <w:p w14:paraId="71D48B74" w14:textId="77777777" w:rsidR="00C53F10" w:rsidRDefault="003D679F">
      <w:pPr>
        <w:pStyle w:val="Paragraphedeliste"/>
        <w:numPr>
          <w:ilvl w:val="0"/>
          <w:numId w:val="2"/>
        </w:numPr>
        <w:spacing w:after="60"/>
        <w:jc w:val="both"/>
      </w:pPr>
      <w:proofErr w:type="gramStart"/>
      <w:r>
        <w:t>le</w:t>
      </w:r>
      <w:proofErr w:type="gramEnd"/>
      <w:r>
        <w:t xml:space="preserve"> mémoire technique, document rédigé par l’opérateur économique, paraphé, daté et signé. Il reprend la structuration suivante :</w:t>
      </w:r>
    </w:p>
    <w:p w14:paraId="01F6DD73" w14:textId="77777777" w:rsidR="00C53F10" w:rsidRDefault="00C53F10">
      <w:pPr>
        <w:spacing w:after="100"/>
      </w:pP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7106"/>
      </w:tblGrid>
      <w:tr w:rsidR="00C53F10" w14:paraId="5E5A98BE" w14:textId="77777777">
        <w:trPr>
          <w:tblHeader/>
        </w:trPr>
        <w:tc>
          <w:tcPr>
            <w:tcW w:w="2200" w:type="dxa"/>
            <w:tcBorders>
              <w:top w:val="single" w:sz="4" w:space="0" w:color="A6A6A6"/>
              <w:left w:val="single" w:sz="4" w:space="0" w:color="A6A6A6"/>
              <w:bottom w:val="single" w:sz="4" w:space="0" w:color="A6A6A6"/>
              <w:right w:val="single" w:sz="4" w:space="0" w:color="A6A6A6"/>
            </w:tcBorders>
            <w:shd w:val="clear" w:color="auto" w:fill="17375E"/>
            <w:tcMar>
              <w:top w:w="60" w:type="dxa"/>
              <w:left w:w="100" w:type="dxa"/>
              <w:bottom w:w="60" w:type="dxa"/>
              <w:right w:w="100" w:type="dxa"/>
            </w:tcMar>
          </w:tcPr>
          <w:p w14:paraId="769A4570" w14:textId="77777777" w:rsidR="00C53F10" w:rsidRDefault="003D679F">
            <w:r>
              <w:rPr>
                <w:b/>
                <w:bCs/>
                <w:color w:val="FFFFFF"/>
                <w:sz w:val="20"/>
                <w:szCs w:val="20"/>
              </w:rPr>
              <w:t>Thème du mémoire</w:t>
            </w:r>
          </w:p>
        </w:tc>
        <w:tc>
          <w:tcPr>
            <w:tcW w:w="7106" w:type="dxa"/>
            <w:tcBorders>
              <w:top w:val="single" w:sz="4" w:space="0" w:color="A6A6A6"/>
              <w:left w:val="single" w:sz="4" w:space="0" w:color="A6A6A6"/>
              <w:bottom w:val="single" w:sz="4" w:space="0" w:color="A6A6A6"/>
              <w:right w:val="single" w:sz="4" w:space="0" w:color="A6A6A6"/>
            </w:tcBorders>
            <w:shd w:val="clear" w:color="auto" w:fill="17375E"/>
            <w:tcMar>
              <w:top w:w="60" w:type="dxa"/>
              <w:left w:w="100" w:type="dxa"/>
              <w:bottom w:w="60" w:type="dxa"/>
              <w:right w:w="100" w:type="dxa"/>
            </w:tcMar>
          </w:tcPr>
          <w:p w14:paraId="1766D087" w14:textId="77777777" w:rsidR="00C53F10" w:rsidRDefault="003D679F">
            <w:r>
              <w:rPr>
                <w:b/>
                <w:bCs/>
                <w:color w:val="FFFFFF"/>
                <w:sz w:val="20"/>
                <w:szCs w:val="20"/>
              </w:rPr>
              <w:t>À décrire par l’opérateur économique</w:t>
            </w:r>
          </w:p>
        </w:tc>
      </w:tr>
      <w:tr w:rsidR="00C53F10" w14:paraId="009D35DF" w14:textId="77777777">
        <w:tc>
          <w:tcPr>
            <w:tcW w:w="2200" w:type="dxa"/>
            <w:tcBorders>
              <w:top w:val="single" w:sz="4" w:space="0" w:color="A6A6A6"/>
              <w:left w:val="single" w:sz="4" w:space="0" w:color="A6A6A6"/>
              <w:bottom w:val="single" w:sz="4" w:space="0" w:color="A6A6A6"/>
              <w:right w:val="single" w:sz="4" w:space="0" w:color="A6A6A6"/>
            </w:tcBorders>
            <w:shd w:val="clear" w:color="auto" w:fill="DCE6F1"/>
            <w:tcMar>
              <w:top w:w="80" w:type="dxa"/>
              <w:left w:w="100" w:type="dxa"/>
              <w:bottom w:w="80" w:type="dxa"/>
              <w:right w:w="100" w:type="dxa"/>
            </w:tcMar>
          </w:tcPr>
          <w:p w14:paraId="54A298B9" w14:textId="77777777" w:rsidR="00C53F10" w:rsidRDefault="003D679F">
            <w:r>
              <w:rPr>
                <w:b/>
                <w:bCs/>
                <w:color w:val="17375E"/>
                <w:sz w:val="20"/>
                <w:szCs w:val="20"/>
              </w:rPr>
              <w:t>Le fonctionnement du service concédé</w:t>
            </w:r>
          </w:p>
        </w:tc>
        <w:tc>
          <w:tcPr>
            <w:tcW w:w="7106" w:type="dxa"/>
            <w:tcBorders>
              <w:top w:val="single" w:sz="4" w:space="0" w:color="A6A6A6"/>
              <w:left w:val="single" w:sz="4" w:space="0" w:color="A6A6A6"/>
              <w:bottom w:val="single" w:sz="4" w:space="0" w:color="A6A6A6"/>
              <w:right w:val="single" w:sz="4" w:space="0" w:color="A6A6A6"/>
            </w:tcBorders>
            <w:tcMar>
              <w:top w:w="80" w:type="dxa"/>
              <w:left w:w="100" w:type="dxa"/>
              <w:bottom w:w="80" w:type="dxa"/>
              <w:right w:w="100" w:type="dxa"/>
            </w:tcMar>
          </w:tcPr>
          <w:p w14:paraId="7CC9DA07" w14:textId="77777777" w:rsidR="00C53F10" w:rsidRDefault="003D679F">
            <w:pPr>
              <w:spacing w:after="60"/>
            </w:pPr>
            <w:r>
              <w:rPr>
                <w:sz w:val="20"/>
                <w:szCs w:val="20"/>
              </w:rPr>
              <w:t>L’opérateur économique détaillera dans cette partie du mémoire :</w:t>
            </w:r>
          </w:p>
          <w:p w14:paraId="66BE432A" w14:textId="50C537DA" w:rsidR="00C53F10" w:rsidRDefault="00E90A1D">
            <w:pPr>
              <w:pStyle w:val="Paragraphedeliste"/>
              <w:numPr>
                <w:ilvl w:val="0"/>
                <w:numId w:val="3"/>
              </w:numPr>
              <w:spacing w:after="50"/>
            </w:pPr>
            <w:r>
              <w:rPr>
                <w:sz w:val="20"/>
                <w:szCs w:val="20"/>
              </w:rPr>
              <w:t>L’interlocuteur</w:t>
            </w:r>
            <w:r w:rsidR="003D679F">
              <w:rPr>
                <w:sz w:val="20"/>
                <w:szCs w:val="20"/>
              </w:rPr>
              <w:t xml:space="preserve"> dédié aux échanges avec le concédant, avec son CV détaillé (article 3.1 du projet de contrat) ;</w:t>
            </w:r>
          </w:p>
          <w:p w14:paraId="2C238F94" w14:textId="4A75232E" w:rsidR="00C53F10" w:rsidRDefault="00E90A1D">
            <w:pPr>
              <w:pStyle w:val="Paragraphedeliste"/>
              <w:numPr>
                <w:ilvl w:val="0"/>
                <w:numId w:val="3"/>
              </w:numPr>
              <w:spacing w:after="50"/>
            </w:pPr>
            <w:r>
              <w:rPr>
                <w:sz w:val="20"/>
                <w:szCs w:val="20"/>
              </w:rPr>
              <w:t>Sa compréhension de l’organisation des commissions et du fonctionnement du service petite enfance du concédant, et le processus d’inscription et d’admission proposé, incluant une étape de pré-inscription auprès des services du concédant (articles 3.6 et 3.7) ;</w:t>
            </w:r>
          </w:p>
          <w:p w14:paraId="6B47FB20" w14:textId="34475756" w:rsidR="00C53F10" w:rsidRDefault="00E90A1D">
            <w:pPr>
              <w:pStyle w:val="Paragraphedeliste"/>
              <w:numPr>
                <w:ilvl w:val="0"/>
                <w:numId w:val="3"/>
              </w:numPr>
              <w:spacing w:after="50"/>
            </w:pPr>
            <w:r>
              <w:rPr>
                <w:sz w:val="20"/>
                <w:szCs w:val="20"/>
              </w:rPr>
              <w:t>La politique de commercialisation des places auprès des tiers et le tarif proposé pour ces places (article 3.4), ainsi que les conditions de mise en œuvre de l’option de réservation de places à tarif préférentiel (article 3.5) ;</w:t>
            </w:r>
          </w:p>
          <w:p w14:paraId="4379FD13" w14:textId="543AC7CC" w:rsidR="00C53F10" w:rsidRDefault="00E90A1D">
            <w:pPr>
              <w:pStyle w:val="Paragraphedeliste"/>
              <w:numPr>
                <w:ilvl w:val="0"/>
                <w:numId w:val="3"/>
              </w:numPr>
              <w:spacing w:after="50"/>
            </w:pPr>
            <w:r>
              <w:rPr>
                <w:sz w:val="20"/>
                <w:szCs w:val="20"/>
              </w:rPr>
              <w:t>Les périodes de fermeture annuelle envisagées (article 3.8) ;</w:t>
            </w:r>
          </w:p>
          <w:p w14:paraId="39EEA4E2" w14:textId="6D9C666B" w:rsidR="00C53F10" w:rsidRDefault="00E90A1D">
            <w:pPr>
              <w:pStyle w:val="Paragraphedeliste"/>
              <w:numPr>
                <w:ilvl w:val="0"/>
                <w:numId w:val="3"/>
              </w:numPr>
              <w:spacing w:after="50"/>
            </w:pPr>
            <w:r>
              <w:rPr>
                <w:sz w:val="20"/>
                <w:szCs w:val="20"/>
              </w:rPr>
              <w:t>Le projet d’établissement, intégrant l’ensemble des items visés à l’article 3.9 du projet de contrat (il constituera l’annexe n°4) et s’appuyant, pour le projet social, sur le projet éducatif de territoire (PEDT) du concédant (annexe n°7) ;</w:t>
            </w:r>
          </w:p>
          <w:p w14:paraId="133849EC" w14:textId="63B8D4E8" w:rsidR="00C53F10" w:rsidRDefault="00E90A1D">
            <w:pPr>
              <w:pStyle w:val="Paragraphedeliste"/>
              <w:numPr>
                <w:ilvl w:val="0"/>
                <w:numId w:val="3"/>
              </w:numPr>
              <w:spacing w:after="50"/>
            </w:pPr>
            <w:r>
              <w:rPr>
                <w:sz w:val="20"/>
                <w:szCs w:val="20"/>
              </w:rPr>
              <w:t>Le règlement de fonctionnement du service concédé (article 3.10) ;</w:t>
            </w:r>
          </w:p>
          <w:p w14:paraId="717891B6" w14:textId="7E50F8EF" w:rsidR="00C53F10" w:rsidRDefault="00E90A1D">
            <w:pPr>
              <w:pStyle w:val="Paragraphedeliste"/>
              <w:numPr>
                <w:ilvl w:val="0"/>
                <w:numId w:val="3"/>
              </w:numPr>
              <w:spacing w:after="50"/>
            </w:pPr>
            <w:r>
              <w:rPr>
                <w:sz w:val="20"/>
                <w:szCs w:val="20"/>
              </w:rPr>
              <w:t xml:space="preserve">Le </w:t>
            </w:r>
            <w:r w:rsidR="003D679F">
              <w:rPr>
                <w:sz w:val="20"/>
                <w:szCs w:val="20"/>
              </w:rPr>
              <w:t>protocole d’accueil et d’adaptation des enfants et les conditions d’accueil des enfants en situation de handicap ;</w:t>
            </w:r>
          </w:p>
          <w:p w14:paraId="397AEF0D" w14:textId="34754628" w:rsidR="00C53F10" w:rsidRDefault="00E90A1D">
            <w:pPr>
              <w:pStyle w:val="Paragraphedeliste"/>
              <w:numPr>
                <w:ilvl w:val="0"/>
                <w:numId w:val="3"/>
              </w:numPr>
              <w:spacing w:after="50"/>
            </w:pPr>
            <w:r>
              <w:rPr>
                <w:sz w:val="20"/>
                <w:szCs w:val="20"/>
              </w:rPr>
              <w:t>Les modalités d’organisation de la restauration (article 3.12) ;</w:t>
            </w:r>
          </w:p>
          <w:p w14:paraId="3C3189FC" w14:textId="3772CDFA" w:rsidR="00C53F10" w:rsidRDefault="00E90A1D">
            <w:pPr>
              <w:pStyle w:val="Paragraphedeliste"/>
              <w:numPr>
                <w:ilvl w:val="0"/>
                <w:numId w:val="3"/>
              </w:numPr>
              <w:spacing w:after="50"/>
            </w:pPr>
            <w:r>
              <w:rPr>
                <w:sz w:val="20"/>
                <w:szCs w:val="20"/>
              </w:rPr>
              <w:t>Les méthodes et protocoles mis en place pour assurer la sécurité, y compris face au risque attentat (article 3.14) ;</w:t>
            </w:r>
          </w:p>
          <w:p w14:paraId="53874E3B" w14:textId="2E063564" w:rsidR="00C53F10" w:rsidRDefault="00E90A1D">
            <w:pPr>
              <w:pStyle w:val="Paragraphedeliste"/>
              <w:numPr>
                <w:ilvl w:val="0"/>
                <w:numId w:val="3"/>
              </w:numPr>
              <w:spacing w:after="50"/>
            </w:pPr>
            <w:r>
              <w:rPr>
                <w:sz w:val="20"/>
                <w:szCs w:val="20"/>
              </w:rPr>
              <w:t>Les modalités envisagées pour assurer le respect des obligations et des recommandations en matière de vaccination (article 3.13.2) ;</w:t>
            </w:r>
          </w:p>
          <w:p w14:paraId="08D1046E" w14:textId="58CF3FF9" w:rsidR="00C53F10" w:rsidRDefault="00E90A1D">
            <w:pPr>
              <w:pStyle w:val="Paragraphedeliste"/>
              <w:numPr>
                <w:ilvl w:val="0"/>
                <w:numId w:val="3"/>
              </w:numPr>
              <w:spacing w:after="50"/>
            </w:pPr>
            <w:r>
              <w:rPr>
                <w:sz w:val="20"/>
                <w:szCs w:val="20"/>
              </w:rPr>
              <w:t>Les modalités optimales de délivrance des médicaments (article 3.13.4) ;</w:t>
            </w:r>
          </w:p>
          <w:p w14:paraId="55A39F04" w14:textId="2DFF34CE" w:rsidR="00C53F10" w:rsidRDefault="00E90A1D">
            <w:pPr>
              <w:pStyle w:val="Paragraphedeliste"/>
              <w:numPr>
                <w:ilvl w:val="0"/>
                <w:numId w:val="3"/>
              </w:numPr>
              <w:spacing w:after="50"/>
            </w:pPr>
            <w:r>
              <w:rPr>
                <w:sz w:val="20"/>
                <w:szCs w:val="20"/>
              </w:rPr>
              <w:t>Les modalités de suivi des heures et d’utilisation du logiciel du concédant (</w:t>
            </w:r>
            <w:proofErr w:type="spellStart"/>
            <w:r>
              <w:rPr>
                <w:sz w:val="20"/>
                <w:szCs w:val="20"/>
              </w:rPr>
              <w:t>Babicarte</w:t>
            </w:r>
            <w:proofErr w:type="spellEnd"/>
            <w:r>
              <w:rPr>
                <w:sz w:val="20"/>
                <w:szCs w:val="20"/>
              </w:rPr>
              <w:t>) (article 3.15) ;</w:t>
            </w:r>
          </w:p>
          <w:p w14:paraId="011838FE" w14:textId="491C9607" w:rsidR="00C53F10" w:rsidRDefault="00E90A1D">
            <w:pPr>
              <w:pStyle w:val="Paragraphedeliste"/>
              <w:numPr>
                <w:ilvl w:val="0"/>
                <w:numId w:val="3"/>
              </w:numPr>
              <w:spacing w:after="50"/>
            </w:pPr>
            <w:r>
              <w:rPr>
                <w:sz w:val="20"/>
                <w:szCs w:val="20"/>
              </w:rPr>
              <w:t>Les supports d’information envisagés pour la communication auprès des familles (article 3.16) ;</w:t>
            </w:r>
          </w:p>
          <w:p w14:paraId="194F2844" w14:textId="6EA390EE" w:rsidR="00C53F10" w:rsidRDefault="00E90A1D">
            <w:pPr>
              <w:pStyle w:val="Paragraphedeliste"/>
              <w:numPr>
                <w:ilvl w:val="0"/>
                <w:numId w:val="3"/>
              </w:numPr>
              <w:spacing w:after="50"/>
            </w:pPr>
            <w:r>
              <w:rPr>
                <w:sz w:val="20"/>
                <w:szCs w:val="20"/>
              </w:rPr>
              <w:t xml:space="preserve">Les </w:t>
            </w:r>
            <w:r w:rsidR="003D679F">
              <w:rPr>
                <w:sz w:val="20"/>
                <w:szCs w:val="20"/>
              </w:rPr>
              <w:t>modalités de mise en place d’un système de paiement en ligne (article 6.3.2) ;</w:t>
            </w:r>
          </w:p>
          <w:p w14:paraId="0CC870D4" w14:textId="43A9CAA4" w:rsidR="00C53F10" w:rsidRDefault="00E90A1D">
            <w:pPr>
              <w:pStyle w:val="Paragraphedeliste"/>
              <w:numPr>
                <w:ilvl w:val="0"/>
                <w:numId w:val="3"/>
              </w:numPr>
              <w:spacing w:after="50"/>
            </w:pPr>
            <w:r>
              <w:rPr>
                <w:sz w:val="20"/>
                <w:szCs w:val="20"/>
              </w:rPr>
              <w:t xml:space="preserve">L’aptitude </w:t>
            </w:r>
            <w:r w:rsidR="003D679F">
              <w:rPr>
                <w:sz w:val="20"/>
                <w:szCs w:val="20"/>
              </w:rPr>
              <w:t>à assurer l’exécution et la continuité du service public ainsi que l’égalité des usagers devant le service public.</w:t>
            </w:r>
          </w:p>
        </w:tc>
      </w:tr>
      <w:tr w:rsidR="00C53F10" w14:paraId="46F282B7" w14:textId="77777777">
        <w:tc>
          <w:tcPr>
            <w:tcW w:w="2200" w:type="dxa"/>
            <w:tcBorders>
              <w:top w:val="single" w:sz="4" w:space="0" w:color="A6A6A6"/>
              <w:left w:val="single" w:sz="4" w:space="0" w:color="A6A6A6"/>
              <w:bottom w:val="single" w:sz="4" w:space="0" w:color="A6A6A6"/>
              <w:right w:val="single" w:sz="4" w:space="0" w:color="A6A6A6"/>
            </w:tcBorders>
            <w:shd w:val="clear" w:color="auto" w:fill="DCE6F1"/>
            <w:tcMar>
              <w:top w:w="80" w:type="dxa"/>
              <w:left w:w="100" w:type="dxa"/>
              <w:bottom w:w="80" w:type="dxa"/>
              <w:right w:w="100" w:type="dxa"/>
            </w:tcMar>
          </w:tcPr>
          <w:p w14:paraId="2A28545D" w14:textId="77777777" w:rsidR="00C53F10" w:rsidRDefault="003D679F">
            <w:r>
              <w:rPr>
                <w:b/>
                <w:bCs/>
                <w:color w:val="17375E"/>
                <w:sz w:val="20"/>
                <w:szCs w:val="20"/>
              </w:rPr>
              <w:t>L’organisation et l’affectation des ressources humaines</w:t>
            </w:r>
          </w:p>
        </w:tc>
        <w:tc>
          <w:tcPr>
            <w:tcW w:w="7106" w:type="dxa"/>
            <w:tcBorders>
              <w:top w:val="single" w:sz="4" w:space="0" w:color="A6A6A6"/>
              <w:left w:val="single" w:sz="4" w:space="0" w:color="A6A6A6"/>
              <w:bottom w:val="single" w:sz="4" w:space="0" w:color="A6A6A6"/>
              <w:right w:val="single" w:sz="4" w:space="0" w:color="A6A6A6"/>
            </w:tcBorders>
            <w:tcMar>
              <w:top w:w="80" w:type="dxa"/>
              <w:left w:w="100" w:type="dxa"/>
              <w:bottom w:w="80" w:type="dxa"/>
              <w:right w:w="100" w:type="dxa"/>
            </w:tcMar>
          </w:tcPr>
          <w:p w14:paraId="68393349" w14:textId="77777777" w:rsidR="00C53F10" w:rsidRDefault="003D679F">
            <w:pPr>
              <w:spacing w:after="60"/>
            </w:pPr>
            <w:r>
              <w:rPr>
                <w:sz w:val="20"/>
                <w:szCs w:val="20"/>
              </w:rPr>
              <w:t>L’opérateur économique détaillera dans cette partie du mémoire :</w:t>
            </w:r>
          </w:p>
          <w:p w14:paraId="75716DC1" w14:textId="377D2039" w:rsidR="00C53F10" w:rsidRDefault="00E90A1D">
            <w:pPr>
              <w:pStyle w:val="Paragraphedeliste"/>
              <w:numPr>
                <w:ilvl w:val="0"/>
                <w:numId w:val="3"/>
              </w:numPr>
              <w:spacing w:after="50"/>
            </w:pPr>
            <w:r>
              <w:rPr>
                <w:sz w:val="20"/>
                <w:szCs w:val="20"/>
              </w:rPr>
              <w:t xml:space="preserve">La </w:t>
            </w:r>
            <w:r w:rsidR="003D679F">
              <w:rPr>
                <w:sz w:val="20"/>
                <w:szCs w:val="20"/>
              </w:rPr>
              <w:t>structuration de l’équipe qui sera mise en place pour la bonne exécution du contrat (effectif, statut, qualification, horaires de travail…) ;</w:t>
            </w:r>
          </w:p>
          <w:p w14:paraId="1B8C7715" w14:textId="702D2593" w:rsidR="00C53F10" w:rsidRDefault="00E90A1D">
            <w:pPr>
              <w:pStyle w:val="Paragraphedeliste"/>
              <w:numPr>
                <w:ilvl w:val="0"/>
                <w:numId w:val="3"/>
              </w:numPr>
              <w:spacing w:after="50"/>
            </w:pPr>
            <w:r>
              <w:rPr>
                <w:sz w:val="20"/>
                <w:szCs w:val="20"/>
              </w:rPr>
              <w:t xml:space="preserve">Les </w:t>
            </w:r>
            <w:r w:rsidR="003D679F">
              <w:rPr>
                <w:sz w:val="20"/>
                <w:szCs w:val="20"/>
              </w:rPr>
              <w:t>profils et les CV des membres de l’équipe proposée, et notamment l’interlocuteur référent ;</w:t>
            </w:r>
          </w:p>
          <w:p w14:paraId="76C11EBE" w14:textId="27F07A94" w:rsidR="00C53F10" w:rsidRDefault="00E90A1D">
            <w:pPr>
              <w:pStyle w:val="Paragraphedeliste"/>
              <w:numPr>
                <w:ilvl w:val="0"/>
                <w:numId w:val="3"/>
              </w:numPr>
              <w:spacing w:after="50"/>
            </w:pPr>
            <w:r>
              <w:rPr>
                <w:sz w:val="20"/>
                <w:szCs w:val="20"/>
              </w:rPr>
              <w:t xml:space="preserve">Les </w:t>
            </w:r>
            <w:r w:rsidR="003D679F">
              <w:rPr>
                <w:sz w:val="20"/>
                <w:szCs w:val="20"/>
              </w:rPr>
              <w:t>taux d’encadrement proposés et les modalités de remplacement ponctuel des salariés absents (article 5.3) ;</w:t>
            </w:r>
          </w:p>
          <w:p w14:paraId="69C54F1D" w14:textId="13599D0C" w:rsidR="00C53F10" w:rsidRDefault="00E90A1D">
            <w:pPr>
              <w:pStyle w:val="Paragraphedeliste"/>
              <w:numPr>
                <w:ilvl w:val="0"/>
                <w:numId w:val="3"/>
              </w:numPr>
              <w:spacing w:after="50"/>
            </w:pPr>
            <w:r>
              <w:rPr>
                <w:sz w:val="20"/>
                <w:szCs w:val="20"/>
              </w:rPr>
              <w:t xml:space="preserve">La </w:t>
            </w:r>
            <w:r w:rsidR="003D679F">
              <w:rPr>
                <w:sz w:val="20"/>
                <w:szCs w:val="20"/>
              </w:rPr>
              <w:t>politique de recrutement, y compris les modalités de vérification de l’honorabilité du personnel (article 5.1) ;</w:t>
            </w:r>
          </w:p>
          <w:p w14:paraId="5179018C" w14:textId="154817A1" w:rsidR="00C53F10" w:rsidRDefault="00E90A1D">
            <w:pPr>
              <w:pStyle w:val="Paragraphedeliste"/>
              <w:numPr>
                <w:ilvl w:val="0"/>
                <w:numId w:val="3"/>
              </w:numPr>
              <w:spacing w:after="50"/>
            </w:pPr>
            <w:r>
              <w:rPr>
                <w:sz w:val="20"/>
                <w:szCs w:val="20"/>
              </w:rPr>
              <w:t xml:space="preserve">Le </w:t>
            </w:r>
            <w:r w:rsidR="003D679F">
              <w:rPr>
                <w:sz w:val="20"/>
                <w:szCs w:val="20"/>
              </w:rPr>
              <w:t>plan de formation proposé aux salariés et, le cas échéant, les modalités d’intervention du personnel de son siège (article 5.2) ;</w:t>
            </w:r>
          </w:p>
          <w:p w14:paraId="2A3D34EC" w14:textId="09A9E6AD" w:rsidR="00C53F10" w:rsidRDefault="00E90A1D">
            <w:pPr>
              <w:pStyle w:val="Paragraphedeliste"/>
              <w:numPr>
                <w:ilvl w:val="0"/>
                <w:numId w:val="3"/>
              </w:numPr>
              <w:spacing w:after="50"/>
            </w:pPr>
            <w:r>
              <w:rPr>
                <w:sz w:val="20"/>
                <w:szCs w:val="20"/>
              </w:rPr>
              <w:lastRenderedPageBreak/>
              <w:t xml:space="preserve">L’ensemble </w:t>
            </w:r>
            <w:r w:rsidR="003D679F">
              <w:rPr>
                <w:sz w:val="20"/>
                <w:szCs w:val="20"/>
              </w:rPr>
              <w:t>des items inclus dans l’annexe relative à l’engagement social (annexe n°3 du projet de contrat) ;</w:t>
            </w:r>
          </w:p>
          <w:p w14:paraId="25703F13" w14:textId="77777777" w:rsidR="000B62C3" w:rsidRDefault="005B63A4">
            <w:pPr>
              <w:pStyle w:val="Paragraphedeliste"/>
              <w:numPr>
                <w:ilvl w:val="0"/>
                <w:numId w:val="3"/>
              </w:numPr>
              <w:spacing w:after="50"/>
            </w:pPr>
            <w:r>
              <w:t>Les modalités de mise en œuvre de la c</w:t>
            </w:r>
            <w:r>
              <w:t>ondition d’exécution relative à l’accès des jeunes en formation aux stages et à l’alternance (article 5.7 du projet de contrat), notamment l’organisation de l’accueil des stagiaires et le plan de progrès en matière d’alternance ;</w:t>
            </w:r>
          </w:p>
          <w:p w14:paraId="09240C24" w14:textId="55D81802" w:rsidR="00C53F10" w:rsidRDefault="00E90A1D">
            <w:pPr>
              <w:pStyle w:val="Paragraphedeliste"/>
              <w:numPr>
                <w:ilvl w:val="0"/>
                <w:numId w:val="3"/>
              </w:numPr>
              <w:spacing w:after="50"/>
            </w:pPr>
            <w:r>
              <w:rPr>
                <w:sz w:val="20"/>
                <w:szCs w:val="20"/>
              </w:rPr>
              <w:t>La prise en compte de la situation du personnel affecté au service (articles 1.10, 5.5 et 5.6) et les modalités retenues pour assurer la continuité de l’accueil des enfants lors du changement d’exploitant.</w:t>
            </w:r>
          </w:p>
        </w:tc>
      </w:tr>
      <w:tr w:rsidR="00C53F10" w14:paraId="2C4BA74F" w14:textId="77777777">
        <w:tc>
          <w:tcPr>
            <w:tcW w:w="2200" w:type="dxa"/>
            <w:tcBorders>
              <w:top w:val="single" w:sz="4" w:space="0" w:color="A6A6A6"/>
              <w:left w:val="single" w:sz="4" w:space="0" w:color="A6A6A6"/>
              <w:bottom w:val="single" w:sz="4" w:space="0" w:color="A6A6A6"/>
              <w:right w:val="single" w:sz="4" w:space="0" w:color="A6A6A6"/>
            </w:tcBorders>
            <w:shd w:val="clear" w:color="auto" w:fill="DCE6F1"/>
            <w:tcMar>
              <w:top w:w="80" w:type="dxa"/>
              <w:left w:w="100" w:type="dxa"/>
              <w:bottom w:w="80" w:type="dxa"/>
              <w:right w:w="100" w:type="dxa"/>
            </w:tcMar>
          </w:tcPr>
          <w:p w14:paraId="608D84D0" w14:textId="77777777" w:rsidR="00C53F10" w:rsidRDefault="003D679F">
            <w:r>
              <w:rPr>
                <w:b/>
                <w:bCs/>
                <w:color w:val="17375E"/>
                <w:sz w:val="20"/>
                <w:szCs w:val="20"/>
              </w:rPr>
              <w:lastRenderedPageBreak/>
              <w:t>Gestion administrative du contrat</w:t>
            </w:r>
          </w:p>
        </w:tc>
        <w:tc>
          <w:tcPr>
            <w:tcW w:w="7106" w:type="dxa"/>
            <w:tcBorders>
              <w:top w:val="single" w:sz="4" w:space="0" w:color="A6A6A6"/>
              <w:left w:val="single" w:sz="4" w:space="0" w:color="A6A6A6"/>
              <w:bottom w:val="single" w:sz="4" w:space="0" w:color="A6A6A6"/>
              <w:right w:val="single" w:sz="4" w:space="0" w:color="A6A6A6"/>
            </w:tcBorders>
            <w:tcMar>
              <w:top w:w="80" w:type="dxa"/>
              <w:left w:w="100" w:type="dxa"/>
              <w:bottom w:w="80" w:type="dxa"/>
              <w:right w:w="100" w:type="dxa"/>
            </w:tcMar>
          </w:tcPr>
          <w:p w14:paraId="302D13B4" w14:textId="77777777" w:rsidR="00C53F10" w:rsidRDefault="003D679F">
            <w:pPr>
              <w:spacing w:after="60"/>
            </w:pPr>
            <w:r>
              <w:rPr>
                <w:sz w:val="20"/>
                <w:szCs w:val="20"/>
              </w:rPr>
              <w:t>L’opérateur économique détaillera dans cette partie du mémoire :</w:t>
            </w:r>
          </w:p>
          <w:p w14:paraId="4C59A8B2" w14:textId="6F66CA06" w:rsidR="00C53F10" w:rsidRDefault="00E90A1D">
            <w:pPr>
              <w:pStyle w:val="Paragraphedeliste"/>
              <w:numPr>
                <w:ilvl w:val="0"/>
                <w:numId w:val="3"/>
              </w:numPr>
              <w:spacing w:after="50"/>
            </w:pPr>
            <w:r>
              <w:rPr>
                <w:sz w:val="20"/>
                <w:szCs w:val="20"/>
              </w:rPr>
              <w:t xml:space="preserve">Les </w:t>
            </w:r>
            <w:r w:rsidR="003D679F">
              <w:rPr>
                <w:sz w:val="20"/>
                <w:szCs w:val="20"/>
              </w:rPr>
              <w:t xml:space="preserve">modalités précises du </w:t>
            </w:r>
            <w:proofErr w:type="spellStart"/>
            <w:r w:rsidR="003D679F">
              <w:rPr>
                <w:sz w:val="20"/>
                <w:szCs w:val="20"/>
              </w:rPr>
              <w:t>reporting</w:t>
            </w:r>
            <w:proofErr w:type="spellEnd"/>
            <w:r w:rsidR="003D679F">
              <w:rPr>
                <w:sz w:val="20"/>
                <w:szCs w:val="20"/>
              </w:rPr>
              <w:t xml:space="preserve"> proposé, mensuel et annuel (articles 7.1 et 7.2) ;</w:t>
            </w:r>
          </w:p>
          <w:p w14:paraId="26A9995F" w14:textId="0C4E7587" w:rsidR="00C53F10" w:rsidRDefault="00E90A1D">
            <w:pPr>
              <w:pStyle w:val="Paragraphedeliste"/>
              <w:numPr>
                <w:ilvl w:val="0"/>
                <w:numId w:val="3"/>
              </w:numPr>
              <w:spacing w:after="50"/>
            </w:pPr>
            <w:r>
              <w:rPr>
                <w:sz w:val="20"/>
                <w:szCs w:val="20"/>
              </w:rPr>
              <w:t xml:space="preserve">La </w:t>
            </w:r>
            <w:r w:rsidR="003D679F">
              <w:rPr>
                <w:sz w:val="20"/>
                <w:szCs w:val="20"/>
              </w:rPr>
              <w:t>prise en compte de la comitologie (COPIL, COTECH) inscrite au projet de contrat (articles 7.5 et 7.6) ;</w:t>
            </w:r>
          </w:p>
          <w:p w14:paraId="536D89C8" w14:textId="3A4C3427" w:rsidR="00C53F10" w:rsidRDefault="00E90A1D">
            <w:pPr>
              <w:pStyle w:val="Paragraphedeliste"/>
              <w:numPr>
                <w:ilvl w:val="0"/>
                <w:numId w:val="3"/>
              </w:numPr>
              <w:spacing w:after="50"/>
            </w:pPr>
            <w:r>
              <w:rPr>
                <w:sz w:val="20"/>
                <w:szCs w:val="20"/>
              </w:rPr>
              <w:t>Le format détaillé des factures permettant de déclencher le versement de la quote-part mensuelle de compensation (articles 6.5 et 7.2).</w:t>
            </w:r>
          </w:p>
        </w:tc>
      </w:tr>
    </w:tbl>
    <w:p w14:paraId="6D5E3985" w14:textId="77777777" w:rsidR="00C53F10" w:rsidRDefault="003D679F">
      <w:pPr>
        <w:spacing w:before="140" w:after="120"/>
        <w:jc w:val="both"/>
      </w:pPr>
      <w:r>
        <w:t>Le mémoire technique ne pourra en aucun cas dépasser 100 pages.</w:t>
      </w:r>
    </w:p>
    <w:p w14:paraId="52D18985" w14:textId="77777777" w:rsidR="00C53F10" w:rsidRDefault="003D679F">
      <w:pPr>
        <w:spacing w:after="120"/>
        <w:jc w:val="both"/>
      </w:pPr>
      <w:r>
        <w:t>L’ensemble des éléments mentionnés supra doit être présenté sous la forme proposée dans les documents du dossier de consultation des entreprises. Les candidats veillent à répondre à l’ensemble des attendus édictés dans ces documents.</w:t>
      </w:r>
    </w:p>
    <w:p w14:paraId="4B9583DD" w14:textId="77777777" w:rsidR="00C53F10" w:rsidRDefault="003D679F">
      <w:pPr>
        <w:spacing w:after="120"/>
        <w:jc w:val="both"/>
      </w:pPr>
      <w:r>
        <w:t>Le mémoire technique doit être un document expressément constitué dans le cadre de la présente procédure, et non un extrait d’une offre générale de services des soumissionnaires.</w:t>
      </w:r>
    </w:p>
    <w:p w14:paraId="41F0993D" w14:textId="77777777" w:rsidR="00C53F10" w:rsidRDefault="003D679F">
      <w:pPr>
        <w:pStyle w:val="Titre1"/>
      </w:pPr>
      <w:bookmarkStart w:id="14" w:name="_Toc242191482"/>
      <w:r>
        <w:t>2. Sélection des candidatures et jugement des offres</w:t>
      </w:r>
      <w:bookmarkEnd w:id="14"/>
    </w:p>
    <w:p w14:paraId="186F6BD8" w14:textId="15E6AA4D" w:rsidR="00126D64" w:rsidRPr="00126D64" w:rsidRDefault="00126D64" w:rsidP="00126D64">
      <w:pPr>
        <w:keepNext/>
        <w:spacing w:after="120"/>
        <w:jc w:val="both"/>
      </w:pPr>
      <w:bookmarkStart w:id="15" w:name="_Toc242191483"/>
      <w:bookmarkEnd w:id="15"/>
      <w:r>
        <w:t>La présente consultation est passée selon la procédure de concession de service public prévue aux articles L. 1411-1 et suivants et R. 1411-1 et suivants du Code général des collectivités territoriales et aux dispositions du Code de la commande publique relatives aux contrats de concession. Les opérateurs économiques remettent simultanément leur candidature et leur offre avant la date limite fixée dans les documents de la consultation.</w:t>
      </w:r>
    </w:p>
    <w:p w14:paraId="46339ED6" w14:textId="68ACA8CF" w:rsidR="00C53F10" w:rsidRDefault="003D679F">
      <w:pPr>
        <w:pStyle w:val="Titre2"/>
      </w:pPr>
      <w:bookmarkStart w:id="16" w:name="_Toc242191484"/>
      <w:r>
        <w:t>2.1. Critères de sélection des candidatures</w:t>
      </w:r>
      <w:bookmarkEnd w:id="16"/>
    </w:p>
    <w:p w14:paraId="4561643D" w14:textId="77777777" w:rsidR="00C53F10" w:rsidRDefault="003D679F">
      <w:pPr>
        <w:keepNext/>
        <w:spacing w:after="120"/>
        <w:jc w:val="both"/>
      </w:pPr>
      <w:r>
        <w:t>Conformément aux dispositions de l’article L. 1411-5 du Code général des collectivités territoriales, les candidatures sont sélectionnées en fonction des critères suivants :</w:t>
      </w:r>
    </w:p>
    <w:p w14:paraId="444F5299" w14:textId="2D0DBE50" w:rsidR="00C53F10" w:rsidRDefault="00E90A1D">
      <w:pPr>
        <w:pStyle w:val="Paragraphedeliste"/>
        <w:numPr>
          <w:ilvl w:val="0"/>
          <w:numId w:val="2"/>
        </w:numPr>
        <w:spacing w:after="60"/>
        <w:jc w:val="both"/>
      </w:pPr>
      <w:r>
        <w:t>Garanties professionnelles et financières ;</w:t>
      </w:r>
    </w:p>
    <w:p w14:paraId="32209AA3" w14:textId="35D339E6" w:rsidR="00C53F10" w:rsidRDefault="00E90A1D">
      <w:pPr>
        <w:pStyle w:val="Paragraphedeliste"/>
        <w:numPr>
          <w:ilvl w:val="0"/>
          <w:numId w:val="2"/>
        </w:numPr>
        <w:spacing w:after="60"/>
        <w:jc w:val="both"/>
      </w:pPr>
      <w:r>
        <w:t>Respect de l’obligation d’emploi des travailleurs handicapés prévue à l’article l. 5212-2 du code du travail ;</w:t>
      </w:r>
    </w:p>
    <w:p w14:paraId="27D93E00" w14:textId="3BF465BA" w:rsidR="00C53F10" w:rsidRDefault="00E90A1D">
      <w:pPr>
        <w:pStyle w:val="Paragraphedeliste"/>
        <w:numPr>
          <w:ilvl w:val="0"/>
          <w:numId w:val="2"/>
        </w:numPr>
        <w:spacing w:after="60"/>
        <w:jc w:val="both"/>
      </w:pPr>
      <w:r>
        <w:t>Aptitude à assurer la continuité du service public et l’égalité des usagers devant le service public</w:t>
      </w:r>
      <w:r w:rsidR="003D679F">
        <w:t>.</w:t>
      </w:r>
    </w:p>
    <w:p w14:paraId="542C5739" w14:textId="77777777" w:rsidR="00C53F10" w:rsidRDefault="003D679F">
      <w:pPr>
        <w:spacing w:before="80" w:after="120"/>
        <w:jc w:val="both"/>
      </w:pPr>
      <w:r>
        <w:t>La Commission de délégation de service public (CDSP) dresse ensuite la liste des candidats admis à présenter une offre.</w:t>
      </w:r>
    </w:p>
    <w:p w14:paraId="441AFBA6" w14:textId="77777777" w:rsidR="00C53F10" w:rsidRDefault="003D679F">
      <w:pPr>
        <w:spacing w:after="120"/>
        <w:jc w:val="both"/>
      </w:pPr>
      <w:r>
        <w:t>Si la commission constate que des pièces dont la production est réclamée sont absentes ou incomplètes, il pourra être demandé à tous les candidats concernés de produire ou de compléter ces pièces dans un délai de 6 jours suivant l’envoi de la demande de régularisation par courrier électronique. La non-régularisation entraîne le rejet de la candidature.</w:t>
      </w:r>
    </w:p>
    <w:p w14:paraId="5A34F641" w14:textId="77777777" w:rsidR="00C53F10" w:rsidRDefault="003D679F">
      <w:pPr>
        <w:pStyle w:val="Titre2"/>
      </w:pPr>
      <w:bookmarkStart w:id="17" w:name="_Toc242191485"/>
      <w:r>
        <w:lastRenderedPageBreak/>
        <w:t>2.2. Critères de jugement des offres</w:t>
      </w:r>
      <w:bookmarkEnd w:id="17"/>
    </w:p>
    <w:p w14:paraId="3CD80B7B" w14:textId="5DC80014" w:rsidR="00C53F10" w:rsidRDefault="003D679F">
      <w:pPr>
        <w:keepNext/>
        <w:spacing w:after="120"/>
        <w:jc w:val="both"/>
      </w:pPr>
      <w:r>
        <w:t xml:space="preserve">Conformément à l’article L. 3124-5 du Code de la commande publique, l’offre retenue est celle présentant le meilleur avantage économique global pour le concédant, appréciée au regard des critères énoncés ci-dessous et pondérés sur un total de 100 points : </w:t>
      </w:r>
    </w:p>
    <w:p w14:paraId="473D4ECA" w14:textId="19DFF605" w:rsidR="00C53F10" w:rsidRPr="00AA06D7" w:rsidRDefault="003D679F">
      <w:pPr>
        <w:pStyle w:val="Paragraphedeliste"/>
        <w:numPr>
          <w:ilvl w:val="0"/>
          <w:numId w:val="4"/>
        </w:numPr>
        <w:spacing w:after="60"/>
        <w:jc w:val="both"/>
      </w:pPr>
      <w:r>
        <w:t xml:space="preserve">Qualité technique de </w:t>
      </w:r>
      <w:r w:rsidRPr="00AA06D7">
        <w:t>l’offre (</w:t>
      </w:r>
      <w:r w:rsidR="00AA06D7" w:rsidRPr="00AA06D7">
        <w:t>40 points</w:t>
      </w:r>
      <w:r w:rsidRPr="00AA06D7">
        <w:t>), appréciée au regard du mémoire technique et des sous-critères suivants :</w:t>
      </w:r>
    </w:p>
    <w:p w14:paraId="06FC2213" w14:textId="5B76570F" w:rsidR="000B62C3" w:rsidRDefault="005B63A4">
      <w:pPr>
        <w:pStyle w:val="Paragraphedeliste"/>
        <w:numPr>
          <w:ilvl w:val="0"/>
          <w:numId w:val="2"/>
        </w:numPr>
        <w:spacing w:after="60"/>
        <w:jc w:val="both"/>
      </w:pPr>
      <w:r w:rsidRPr="00AA06D7">
        <w:rPr>
          <w:b/>
        </w:rPr>
        <w:t>Moyens humains (</w:t>
      </w:r>
      <w:r w:rsidR="00AA06D7" w:rsidRPr="00AA06D7">
        <w:rPr>
          <w:b/>
        </w:rPr>
        <w:t>20</w:t>
      </w:r>
      <w:r w:rsidRPr="00AA06D7">
        <w:rPr>
          <w:b/>
        </w:rPr>
        <w:t xml:space="preserve"> points</w:t>
      </w:r>
      <w:r>
        <w:rPr>
          <w:b/>
        </w:rPr>
        <w:t>)</w:t>
      </w:r>
    </w:p>
    <w:p w14:paraId="11B3D5F9" w14:textId="77777777" w:rsidR="000B62C3" w:rsidRDefault="005B63A4">
      <w:pPr>
        <w:pStyle w:val="Paragraphedeliste"/>
        <w:numPr>
          <w:ilvl w:val="1"/>
          <w:numId w:val="2"/>
        </w:numPr>
        <w:spacing w:after="60"/>
        <w:jc w:val="both"/>
      </w:pPr>
      <w:r>
        <w:t xml:space="preserve">Répartition du personnel entre les catégories 1 et 2, ainsi que du temps de </w:t>
      </w:r>
      <w:r>
        <w:t>direction administrative ;</w:t>
      </w:r>
    </w:p>
    <w:p w14:paraId="3B24653C" w14:textId="77777777" w:rsidR="000B62C3" w:rsidRDefault="005B63A4">
      <w:pPr>
        <w:pStyle w:val="Paragraphedeliste"/>
        <w:numPr>
          <w:ilvl w:val="1"/>
          <w:numId w:val="2"/>
        </w:numPr>
        <w:spacing w:after="60"/>
        <w:jc w:val="both"/>
      </w:pPr>
      <w:r>
        <w:t>Taux d’encadrement réel (heures de présence des enfants / heures réelles du personnel auprès des enfants) ;</w:t>
      </w:r>
    </w:p>
    <w:p w14:paraId="7E4C75FA" w14:textId="77777777" w:rsidR="000B62C3" w:rsidRDefault="005B63A4">
      <w:pPr>
        <w:pStyle w:val="Paragraphedeliste"/>
        <w:numPr>
          <w:ilvl w:val="1"/>
          <w:numId w:val="2"/>
        </w:numPr>
        <w:spacing w:after="60"/>
        <w:jc w:val="both"/>
      </w:pPr>
      <w:r>
        <w:t>Modalités de remplacement des absences et taux de non-remplacement ;</w:t>
      </w:r>
    </w:p>
    <w:p w14:paraId="5656E716" w14:textId="77777777" w:rsidR="000B62C3" w:rsidRDefault="005B63A4">
      <w:pPr>
        <w:pStyle w:val="Paragraphedeliste"/>
        <w:numPr>
          <w:ilvl w:val="1"/>
          <w:numId w:val="2"/>
        </w:numPr>
        <w:spacing w:after="60"/>
        <w:jc w:val="both"/>
      </w:pPr>
      <w:r>
        <w:t>Politique de ressources humaines et notamment de fid</w:t>
      </w:r>
      <w:r>
        <w:t>élisation du personnel ;</w:t>
      </w:r>
    </w:p>
    <w:p w14:paraId="5EEC2D27" w14:textId="77777777" w:rsidR="000B62C3" w:rsidRDefault="005B63A4">
      <w:pPr>
        <w:pStyle w:val="Paragraphedeliste"/>
        <w:numPr>
          <w:ilvl w:val="1"/>
          <w:numId w:val="2"/>
        </w:numPr>
        <w:spacing w:after="60"/>
        <w:jc w:val="both"/>
      </w:pPr>
      <w:r>
        <w:t>Volume et répartition des heures proposées en insertion sociale pour le personnel ;</w:t>
      </w:r>
    </w:p>
    <w:p w14:paraId="258D1C2B" w14:textId="77777777" w:rsidR="000B62C3" w:rsidRDefault="005B63A4">
      <w:pPr>
        <w:pStyle w:val="Paragraphedeliste"/>
        <w:numPr>
          <w:ilvl w:val="1"/>
          <w:numId w:val="2"/>
        </w:numPr>
        <w:spacing w:after="60"/>
        <w:jc w:val="both"/>
      </w:pPr>
      <w:r>
        <w:t>Formation du personnel et pertinence du plan de formation proposé ;</w:t>
      </w:r>
    </w:p>
    <w:p w14:paraId="317E5FC9" w14:textId="77777777" w:rsidR="000B62C3" w:rsidRPr="00AA06D7" w:rsidRDefault="005B63A4">
      <w:pPr>
        <w:pStyle w:val="Paragraphedeliste"/>
        <w:numPr>
          <w:ilvl w:val="1"/>
          <w:numId w:val="2"/>
        </w:numPr>
        <w:spacing w:after="60"/>
        <w:jc w:val="both"/>
      </w:pPr>
      <w:r>
        <w:t xml:space="preserve">Modalités de prise </w:t>
      </w:r>
      <w:r w:rsidRPr="00AA06D7">
        <w:t>en compte du personnel affecté au service et de continuité d</w:t>
      </w:r>
      <w:r w:rsidRPr="00AA06D7">
        <w:t>e l’accueil lors du changement d’exploitant.</w:t>
      </w:r>
    </w:p>
    <w:p w14:paraId="582D6468" w14:textId="24139163" w:rsidR="000B62C3" w:rsidRPr="00AA06D7" w:rsidRDefault="005B63A4">
      <w:pPr>
        <w:pStyle w:val="Paragraphedeliste"/>
        <w:numPr>
          <w:ilvl w:val="0"/>
          <w:numId w:val="2"/>
        </w:numPr>
        <w:spacing w:after="60"/>
        <w:jc w:val="both"/>
      </w:pPr>
      <w:r w:rsidRPr="00AA06D7">
        <w:rPr>
          <w:b/>
        </w:rPr>
        <w:t>Gestion et exploitation du service (</w:t>
      </w:r>
      <w:r w:rsidR="00AA06D7" w:rsidRPr="00AA06D7">
        <w:rPr>
          <w:b/>
        </w:rPr>
        <w:t xml:space="preserve">20 </w:t>
      </w:r>
      <w:r w:rsidRPr="00AA06D7">
        <w:rPr>
          <w:b/>
        </w:rPr>
        <w:t>points</w:t>
      </w:r>
      <w:r w:rsidRPr="00AA06D7">
        <w:rPr>
          <w:b/>
        </w:rPr>
        <w:t>)</w:t>
      </w:r>
    </w:p>
    <w:p w14:paraId="6071C112" w14:textId="77777777" w:rsidR="000B62C3" w:rsidRPr="00AA06D7" w:rsidRDefault="005B63A4">
      <w:pPr>
        <w:pStyle w:val="Paragraphedeliste"/>
        <w:numPr>
          <w:ilvl w:val="1"/>
          <w:numId w:val="2"/>
        </w:numPr>
        <w:spacing w:after="60"/>
        <w:jc w:val="both"/>
      </w:pPr>
      <w:r w:rsidRPr="00AA06D7">
        <w:t>Organisation du service ;</w:t>
      </w:r>
    </w:p>
    <w:p w14:paraId="0708C0D6" w14:textId="77777777" w:rsidR="000B62C3" w:rsidRDefault="005B63A4">
      <w:pPr>
        <w:pStyle w:val="Paragraphedeliste"/>
        <w:numPr>
          <w:ilvl w:val="1"/>
          <w:numId w:val="2"/>
        </w:numPr>
        <w:spacing w:after="60"/>
        <w:jc w:val="both"/>
      </w:pPr>
      <w:r w:rsidRPr="00AA06D7">
        <w:t>Projet éducatif et pédagogique : adaptation</w:t>
      </w:r>
      <w:r>
        <w:t xml:space="preserve"> des espaces, activités proposées aux enfants, place de la famille au sein de la structure et o</w:t>
      </w:r>
      <w:r>
        <w:t>rganisation des ateliers pédagogiques ;</w:t>
      </w:r>
    </w:p>
    <w:p w14:paraId="75DA776E" w14:textId="77777777" w:rsidR="000B62C3" w:rsidRDefault="005B63A4">
      <w:pPr>
        <w:pStyle w:val="Paragraphedeliste"/>
        <w:numPr>
          <w:ilvl w:val="1"/>
          <w:numId w:val="2"/>
        </w:numPr>
        <w:spacing w:after="60"/>
        <w:jc w:val="both"/>
      </w:pPr>
      <w:r>
        <w:t>Modalités de suivi médical des enfants et rôle du référent santé et accueil inclusif (RSAI) au sein de la structure ;</w:t>
      </w:r>
    </w:p>
    <w:p w14:paraId="59249ECF" w14:textId="77777777" w:rsidR="000B62C3" w:rsidRDefault="005B63A4">
      <w:pPr>
        <w:pStyle w:val="Paragraphedeliste"/>
        <w:numPr>
          <w:ilvl w:val="1"/>
          <w:numId w:val="2"/>
        </w:numPr>
        <w:spacing w:after="60"/>
        <w:jc w:val="both"/>
      </w:pPr>
      <w:r>
        <w:t>Accueil et intégration des enfants porteurs de handicap ou atteints d’une maladie chronique.</w:t>
      </w:r>
    </w:p>
    <w:p w14:paraId="7E66B34F" w14:textId="5AA93884" w:rsidR="00C53F10" w:rsidRDefault="003D679F">
      <w:pPr>
        <w:pStyle w:val="Paragraphedeliste"/>
        <w:numPr>
          <w:ilvl w:val="0"/>
          <w:numId w:val="4"/>
        </w:numPr>
        <w:spacing w:after="60"/>
        <w:jc w:val="both"/>
      </w:pPr>
      <w:r>
        <w:rPr>
          <w:b/>
          <w:bCs/>
        </w:rPr>
        <w:t xml:space="preserve">Qualité financière de </w:t>
      </w:r>
      <w:r w:rsidRPr="00AA06D7">
        <w:rPr>
          <w:b/>
          <w:bCs/>
        </w:rPr>
        <w:t>l’offre (</w:t>
      </w:r>
      <w:r w:rsidR="00AA06D7" w:rsidRPr="00AA06D7">
        <w:rPr>
          <w:b/>
          <w:bCs/>
        </w:rPr>
        <w:t>50</w:t>
      </w:r>
      <w:r w:rsidRPr="00AA06D7">
        <w:rPr>
          <w:b/>
          <w:bCs/>
        </w:rPr>
        <w:t xml:space="preserve"> points)</w:t>
      </w:r>
      <w:r w:rsidRPr="00AA06D7">
        <w:t xml:space="preserve"> au</w:t>
      </w:r>
      <w:r>
        <w:t xml:space="preserve"> regard </w:t>
      </w:r>
      <w:r w:rsidR="000F2F3D">
        <w:t xml:space="preserve">du montant de </w:t>
      </w:r>
      <w:r w:rsidR="000F2F3D" w:rsidRPr="000F2F3D">
        <w:t>la compensation des contraintes de service public proposée par les candidats</w:t>
      </w:r>
      <w:r w:rsidR="000F2F3D">
        <w:t xml:space="preserve">, </w:t>
      </w:r>
      <w:r>
        <w:t>apprécié au regard du compte d’exploitation prévisionnel (CEP) consolidé et du montant de la majoration de compensation proposée pour l’option de réservation de places (articles 3.5 et 6.5 du projet de contrat).</w:t>
      </w:r>
      <w:r w:rsidR="000F2F3D">
        <w:t xml:space="preserve"> </w:t>
      </w:r>
      <w:r>
        <w:t>Les redevances d’occupation fixe (52 136 € HT) et variable (25 % de l’écart positif entre le résultat d’exploitation constaté et le résultat d’exploitation prévisionnel), prévues à l’article 6.6 du projet de contrat, étant fixées par le concédant, elles ne font pas l’objet d’une notation. Ce critère est noté de la manière suivante :</w:t>
      </w:r>
    </w:p>
    <w:p w14:paraId="0363F0D1" w14:textId="77777777" w:rsidR="000B62C3" w:rsidRDefault="005B63A4">
      <w:pPr>
        <w:pStyle w:val="Paragraphedeliste"/>
        <w:numPr>
          <w:ilvl w:val="1"/>
          <w:numId w:val="2"/>
        </w:numPr>
        <w:spacing w:after="60"/>
        <w:jc w:val="both"/>
      </w:pPr>
      <w:r>
        <w:t>Compensation (90 % des points du critère) : note = points maximum × (compensation totale sur six ans de l’offre la moins-</w:t>
      </w:r>
      <w:proofErr w:type="spellStart"/>
      <w:r>
        <w:t>disante</w:t>
      </w:r>
      <w:proofErr w:type="spellEnd"/>
      <w:r>
        <w:t xml:space="preserve"> ÷ compensation totale sur six ans de l’offre notée), la compensation s’entendant hors redev</w:t>
      </w:r>
      <w:r>
        <w:t>ances. L’offre la moins chère pour la Ville obtient donc tous les points ;</w:t>
      </w:r>
    </w:p>
    <w:p w14:paraId="2C1A3F5E" w14:textId="77777777" w:rsidR="000B62C3" w:rsidRDefault="005B63A4">
      <w:pPr>
        <w:pStyle w:val="Paragraphedeliste"/>
        <w:numPr>
          <w:ilvl w:val="1"/>
          <w:numId w:val="2"/>
        </w:numPr>
        <w:spacing w:after="60"/>
        <w:jc w:val="both"/>
      </w:pPr>
      <w:r>
        <w:t>Option de réservation de places (10 % des points du critère) : la même formule est appliquée à la moyenne arithmétique des montants annuels de majoration de la compensation proposés</w:t>
      </w:r>
      <w:r>
        <w:t xml:space="preserve"> pour 1, 2, 3, 4 et 5 places réservées (articles 3.5 et 6.5 du projet de contrat). La moyenne la plus faible obtient tous les points de cette part.</w:t>
      </w:r>
    </w:p>
    <w:p w14:paraId="44F9EAF0" w14:textId="62950F0A" w:rsidR="00C53F10" w:rsidRPr="00AA06D7" w:rsidRDefault="003D679F">
      <w:pPr>
        <w:pStyle w:val="Paragraphedeliste"/>
        <w:numPr>
          <w:ilvl w:val="0"/>
          <w:numId w:val="4"/>
        </w:numPr>
        <w:spacing w:after="60"/>
        <w:jc w:val="both"/>
        <w:rPr>
          <w:b/>
          <w:bCs/>
        </w:rPr>
      </w:pPr>
      <w:r w:rsidRPr="00AA06D7">
        <w:rPr>
          <w:b/>
          <w:bCs/>
        </w:rPr>
        <w:t>Gestion durable de l’équipement et engagement du candidat sur le développement durable et les conditions sociales de travail (</w:t>
      </w:r>
      <w:r w:rsidR="00AA06D7" w:rsidRPr="00AA06D7">
        <w:rPr>
          <w:b/>
          <w:bCs/>
        </w:rPr>
        <w:t>10</w:t>
      </w:r>
      <w:r w:rsidRPr="00AA06D7">
        <w:rPr>
          <w:b/>
          <w:bCs/>
        </w:rPr>
        <w:t xml:space="preserve"> points) :</w:t>
      </w:r>
    </w:p>
    <w:p w14:paraId="05FDD0E5" w14:textId="77777777" w:rsidR="000B62C3" w:rsidRDefault="005B63A4">
      <w:pPr>
        <w:pStyle w:val="Paragraphedeliste"/>
        <w:numPr>
          <w:ilvl w:val="1"/>
          <w:numId w:val="2"/>
        </w:numPr>
        <w:spacing w:after="60"/>
        <w:jc w:val="both"/>
      </w:pPr>
      <w:r>
        <w:t>Pratiques de développement durable : gestion durable des équipements, achats responsables, entretien des locaux ;</w:t>
      </w:r>
    </w:p>
    <w:p w14:paraId="75438933" w14:textId="77777777" w:rsidR="000B62C3" w:rsidRDefault="005B63A4">
      <w:pPr>
        <w:pStyle w:val="Paragraphedeliste"/>
        <w:numPr>
          <w:ilvl w:val="1"/>
          <w:numId w:val="2"/>
        </w:numPr>
        <w:spacing w:after="60"/>
        <w:jc w:val="both"/>
      </w:pPr>
      <w:r>
        <w:t>Capacité à réduire et valoriser le volume des déchets produits par l’activité de la crèche ;</w:t>
      </w:r>
    </w:p>
    <w:p w14:paraId="3AF36995" w14:textId="77777777" w:rsidR="000B62C3" w:rsidRDefault="005B63A4">
      <w:pPr>
        <w:pStyle w:val="Paragraphedeliste"/>
        <w:numPr>
          <w:ilvl w:val="1"/>
          <w:numId w:val="2"/>
        </w:numPr>
        <w:spacing w:after="60"/>
        <w:jc w:val="both"/>
      </w:pPr>
      <w:r>
        <w:t xml:space="preserve">Qualité des repas </w:t>
      </w:r>
      <w:r>
        <w:t>pour les enfants : circuits courts, produits biologiques et autres labels, aliments non transformés ;</w:t>
      </w:r>
    </w:p>
    <w:p w14:paraId="27263CF1" w14:textId="77777777" w:rsidR="000B62C3" w:rsidRDefault="005B63A4">
      <w:pPr>
        <w:pStyle w:val="Paragraphedeliste"/>
        <w:numPr>
          <w:ilvl w:val="1"/>
          <w:numId w:val="2"/>
        </w:numPr>
        <w:spacing w:after="120"/>
        <w:jc w:val="both"/>
      </w:pPr>
      <w:r>
        <w:t>Qualité de l’accompagnement des personnels en insertion professionnelle (en cas de clause d’insertion).</w:t>
      </w:r>
    </w:p>
    <w:p w14:paraId="42B6E22A" w14:textId="77777777" w:rsidR="00C53F10" w:rsidRDefault="003D679F">
      <w:pPr>
        <w:pStyle w:val="Titre2"/>
      </w:pPr>
      <w:bookmarkStart w:id="18" w:name="_Toc242191486"/>
      <w:r>
        <w:lastRenderedPageBreak/>
        <w:t>2.3. Négociation</w:t>
      </w:r>
      <w:bookmarkEnd w:id="18"/>
    </w:p>
    <w:p w14:paraId="00FCABCB" w14:textId="77777777" w:rsidR="000B62C3" w:rsidRDefault="005B63A4">
      <w:pPr>
        <w:spacing w:after="60"/>
        <w:jc w:val="both"/>
      </w:pPr>
      <w:r>
        <w:t xml:space="preserve">Après sélection des candidatures </w:t>
      </w:r>
      <w:r>
        <w:t>dans les conditions prévues à l’article 2.1, la commission prévue à l’article L. 1411-5 du Code général des collectivités territoriales procède comme suit :</w:t>
      </w:r>
    </w:p>
    <w:p w14:paraId="78572DBC" w14:textId="77777777" w:rsidR="000B62C3" w:rsidRDefault="005B63A4">
      <w:pPr>
        <w:pStyle w:val="Paragraphedeliste"/>
        <w:numPr>
          <w:ilvl w:val="0"/>
          <w:numId w:val="2"/>
        </w:numPr>
        <w:spacing w:after="60"/>
        <w:jc w:val="both"/>
      </w:pPr>
      <w:r>
        <w:t>Ouverture par la commission des offres initiales des seuls candidats admis à présenter une offre. L</w:t>
      </w:r>
      <w:r>
        <w:t>es offres des candidats dont la candidature n’a pas été admise ne sont pas ouvertes ;</w:t>
      </w:r>
    </w:p>
    <w:p w14:paraId="43827ED5" w14:textId="77777777" w:rsidR="000B62C3" w:rsidRDefault="005B63A4">
      <w:pPr>
        <w:pStyle w:val="Paragraphedeliste"/>
        <w:numPr>
          <w:ilvl w:val="0"/>
          <w:numId w:val="2"/>
        </w:numPr>
        <w:spacing w:after="120"/>
        <w:jc w:val="both"/>
      </w:pPr>
      <w:r>
        <w:t>Vérification de la complétude et analyse des offres initiales, puis avis de la commission.</w:t>
      </w:r>
    </w:p>
    <w:p w14:paraId="49F4F649" w14:textId="77777777" w:rsidR="00C53F10" w:rsidRDefault="003D679F">
      <w:pPr>
        <w:spacing w:after="120"/>
        <w:jc w:val="both"/>
      </w:pPr>
      <w:r>
        <w:t>Avant la mise en œuvre de la phase de négociations, le concédant élimine les offres inappropriées, conformément aux dispositions du Code de la commande publique applicables aux contrats de concession.</w:t>
      </w:r>
    </w:p>
    <w:p w14:paraId="55991BC5" w14:textId="77777777" w:rsidR="00C53F10" w:rsidRDefault="003D679F">
      <w:pPr>
        <w:spacing w:after="120"/>
        <w:jc w:val="both"/>
      </w:pPr>
      <w:r>
        <w:t>Après analyse des offres et application des critères d’attribution, le concédant entame librement toute discussion utile avec les cinq (5) meilleures offres au plus, remises par tout moyen permettant d’assurer une traçabilité écrite de la négociation (les négociations pourront notamment se dérouler par courrier électronique).</w:t>
      </w:r>
    </w:p>
    <w:p w14:paraId="6DCB38D1" w14:textId="77777777" w:rsidR="00C53F10" w:rsidRDefault="003D679F">
      <w:pPr>
        <w:spacing w:after="120"/>
        <w:jc w:val="both"/>
      </w:pPr>
      <w:r>
        <w:t>Des auditions contradictoires portent sur l’analyse globale du projet proposé par le candidat, sa capacité à répondre aux contraintes de service public, la qualité du contenu technique de son offre, sa capacité économique et financière ainsi que la pertinence des charges présentées dans le CEP.</w:t>
      </w:r>
    </w:p>
    <w:p w14:paraId="284FAB7B" w14:textId="77777777" w:rsidR="00C53F10" w:rsidRDefault="003D679F">
      <w:pPr>
        <w:spacing w:after="120"/>
        <w:jc w:val="both"/>
      </w:pPr>
      <w:r>
        <w:t>À l’issue de chaque audition, le concédant se réserve le droit de demander aux candidats des compléments d’informations et/ou des adaptations techniques et financières sur la mise en œuvre de leur offre.</w:t>
      </w:r>
    </w:p>
    <w:p w14:paraId="13724369" w14:textId="77777777" w:rsidR="00C53F10" w:rsidRDefault="003D679F">
      <w:pPr>
        <w:spacing w:after="120"/>
        <w:jc w:val="both"/>
      </w:pPr>
      <w:r>
        <w:t>Monsieur le Maire décide alors du choix du concessionnaire et soumet ce choix ainsi que les documents contractuels à l’approbation du Conseil municipal.</w:t>
      </w:r>
    </w:p>
    <w:p w14:paraId="2190CFB0" w14:textId="77777777" w:rsidR="00C53F10" w:rsidRDefault="003D679F">
      <w:pPr>
        <w:pStyle w:val="Titre1"/>
      </w:pPr>
      <w:bookmarkStart w:id="19" w:name="_Toc242191487"/>
      <w:r>
        <w:t>3. Finalisation de la procédure</w:t>
      </w:r>
      <w:bookmarkEnd w:id="19"/>
    </w:p>
    <w:p w14:paraId="4B7C63C9" w14:textId="77777777" w:rsidR="00C53F10" w:rsidRDefault="003D679F">
      <w:pPr>
        <w:pStyle w:val="Titre2"/>
      </w:pPr>
      <w:bookmarkStart w:id="20" w:name="_Toc242191488"/>
      <w:r>
        <w:t>3.1. Information des candidats non retenus</w:t>
      </w:r>
      <w:bookmarkEnd w:id="20"/>
    </w:p>
    <w:p w14:paraId="7E0CEF7B" w14:textId="77777777" w:rsidR="00C53F10" w:rsidRDefault="003D679F">
      <w:pPr>
        <w:spacing w:after="120"/>
        <w:jc w:val="both"/>
      </w:pPr>
      <w:r>
        <w:t>Les soumissionnaires non retenus peuvent demander, par écrit, les motifs du rejet de leur proposition initiale ou de leur offre finale.</w:t>
      </w:r>
    </w:p>
    <w:p w14:paraId="514C3D3D" w14:textId="77777777" w:rsidR="00C53F10" w:rsidRDefault="003D679F">
      <w:pPr>
        <w:pStyle w:val="Titre2"/>
      </w:pPr>
      <w:bookmarkStart w:id="21" w:name="_Toc242191489"/>
      <w:r>
        <w:t>3.2. Mise au point du contrat de concession</w:t>
      </w:r>
      <w:bookmarkEnd w:id="21"/>
    </w:p>
    <w:p w14:paraId="74D63B3A" w14:textId="77777777" w:rsidR="00C53F10" w:rsidRDefault="003D679F">
      <w:pPr>
        <w:spacing w:after="120"/>
        <w:jc w:val="both"/>
      </w:pPr>
      <w:r>
        <w:t>Une mise au point du contrat de concession est engagée si nécessaire avec le candidat dont l’offre a été retenue.</w:t>
      </w:r>
    </w:p>
    <w:p w14:paraId="59AB19C1" w14:textId="77777777" w:rsidR="00C53F10" w:rsidRDefault="003D679F">
      <w:pPr>
        <w:spacing w:after="120"/>
        <w:jc w:val="both"/>
      </w:pPr>
      <w:r>
        <w:t>Aucune modification substantielle de l’offre du candidat ne peut être engagée à ce stade de la procédure.</w:t>
      </w:r>
    </w:p>
    <w:p w14:paraId="1407DA5B" w14:textId="77777777" w:rsidR="00C53F10" w:rsidRDefault="003D679F">
      <w:pPr>
        <w:pStyle w:val="Titre2"/>
      </w:pPr>
      <w:bookmarkStart w:id="22" w:name="_Toc242191490"/>
      <w:r>
        <w:t>3.3. Signature et notification du contrat</w:t>
      </w:r>
      <w:bookmarkEnd w:id="22"/>
    </w:p>
    <w:p w14:paraId="0C50955A" w14:textId="77777777" w:rsidR="00C53F10" w:rsidRDefault="003D679F">
      <w:pPr>
        <w:spacing w:after="120"/>
        <w:jc w:val="both"/>
      </w:pPr>
      <w:r>
        <w:t>Le contrat est ensuite notifié au titulaire avant tout commencement d’exécution. Il prend effet le 1er septembre 2027.</w:t>
      </w:r>
    </w:p>
    <w:p w14:paraId="0A7E4B55" w14:textId="77777777" w:rsidR="00C53F10" w:rsidRDefault="003D679F">
      <w:pPr>
        <w:spacing w:after="120"/>
        <w:jc w:val="both"/>
      </w:pPr>
      <w:r>
        <w:t>Dans un délai de trente (30) jours à compter de cette notification, le concédant envoie pour publication un avis d’attribution aux supports utilisés pour la publication de l’avis de publicité préalable.</w:t>
      </w:r>
    </w:p>
    <w:p w14:paraId="2A1CA0BF" w14:textId="77777777" w:rsidR="00C53F10" w:rsidRDefault="003D679F">
      <w:pPr>
        <w:pStyle w:val="Titre2"/>
      </w:pPr>
      <w:bookmarkStart w:id="23" w:name="_Toc242191491"/>
      <w:r>
        <w:t>3.4. Renonciation à la consultation</w:t>
      </w:r>
      <w:bookmarkEnd w:id="23"/>
    </w:p>
    <w:p w14:paraId="274F80F3" w14:textId="77777777" w:rsidR="00C53F10" w:rsidRDefault="003D679F">
      <w:pPr>
        <w:spacing w:after="120"/>
        <w:jc w:val="both"/>
      </w:pPr>
      <w:r>
        <w:t>Le concédant se réserve la faculté de ne pas donner suite à la présente consultation, pour un motif d’intérêt général, et ce, à tout moment de la consultation jusqu’à la signature du contrat de concession de service public.</w:t>
      </w:r>
    </w:p>
    <w:p w14:paraId="3012C1A5" w14:textId="77777777" w:rsidR="00C53F10" w:rsidRDefault="003D679F">
      <w:pPr>
        <w:spacing w:after="120"/>
        <w:jc w:val="both"/>
      </w:pPr>
      <w:r>
        <w:t>Le cas échéant, les candidats sont informés d’une telle décision, laquelle ne pourra donner lieu à aucune indemnisation.</w:t>
      </w:r>
    </w:p>
    <w:p w14:paraId="5A9BA8D6" w14:textId="77777777" w:rsidR="00C53F10" w:rsidRDefault="003D679F">
      <w:pPr>
        <w:pStyle w:val="Titre1"/>
      </w:pPr>
      <w:bookmarkStart w:id="24" w:name="_Toc242191492"/>
      <w:r>
        <w:lastRenderedPageBreak/>
        <w:t>4. Conditions de remise des plis</w:t>
      </w:r>
      <w:bookmarkEnd w:id="24"/>
    </w:p>
    <w:p w14:paraId="20A9080A" w14:textId="77777777" w:rsidR="00C53F10" w:rsidRDefault="003D679F">
      <w:pPr>
        <w:pStyle w:val="Titre2"/>
      </w:pPr>
      <w:bookmarkStart w:id="25" w:name="_Toc242191493"/>
      <w:r>
        <w:t>4.1. Transmission électronique</w:t>
      </w:r>
      <w:bookmarkEnd w:id="25"/>
    </w:p>
    <w:p w14:paraId="0FA62980" w14:textId="77777777" w:rsidR="00C53F10" w:rsidRDefault="003D679F">
      <w:pPr>
        <w:spacing w:after="120"/>
        <w:jc w:val="both"/>
      </w:pPr>
      <w:r>
        <w:t>Seule la transmission des documents par voie électronique est autorisée. Elle est effectuée sur le profil d’acheteur du concédant, à l’adresse suivante : https://www.marches-publics.info</w:t>
      </w:r>
    </w:p>
    <w:p w14:paraId="7492BA03" w14:textId="77777777" w:rsidR="00C53F10" w:rsidRDefault="003D679F">
      <w:pPr>
        <w:spacing w:after="120"/>
        <w:jc w:val="both"/>
      </w:pPr>
      <w:r>
        <w:t>Sont en conséquence interdits : la transmission par voie papier, l’envoi de la réponse par courrier électronique (« mail ») et la transmission sur un support physique électronique (CD-ROM, clé USB…), sous réserve de la copie de sauvegarde prévue ci-après.</w:t>
      </w:r>
    </w:p>
    <w:p w14:paraId="3BF6ECDE" w14:textId="77777777" w:rsidR="00C53F10" w:rsidRDefault="003D679F">
      <w:pPr>
        <w:spacing w:after="120"/>
        <w:jc w:val="both"/>
      </w:pPr>
      <w:r>
        <w:t xml:space="preserve">Le pli doit parvenir à destination avant la date et l’heure limites de </w:t>
      </w:r>
      <w:proofErr w:type="gramStart"/>
      <w:r>
        <w:t>réception fixées</w:t>
      </w:r>
      <w:proofErr w:type="gramEnd"/>
      <w:r>
        <w:t xml:space="preserve"> à l’article 1.5. Chaque transmission fait l’objet d’une date certaine de réception et d’un accusé de réception électronique ; le fuseau horaire de référence est celui de Paris. Le pli est considéré comme « hors délai » si le téléchargement se termine après la date et l’heure limites de réception.</w:t>
      </w:r>
    </w:p>
    <w:p w14:paraId="0AE9CA28" w14:textId="77777777" w:rsidR="00C53F10" w:rsidRDefault="003D679F">
      <w:pPr>
        <w:spacing w:after="120"/>
        <w:jc w:val="both"/>
      </w:pPr>
      <w:r>
        <w:t>Si une nouvelle offre est envoyée par voie électronique par le même candidat, celle-ci annule et remplace l’offre précédente.</w:t>
      </w:r>
    </w:p>
    <w:p w14:paraId="45FD1B46" w14:textId="77777777" w:rsidR="00C53F10" w:rsidRDefault="003D679F">
      <w:pPr>
        <w:spacing w:after="120"/>
        <w:jc w:val="both"/>
      </w:pPr>
      <w:r>
        <w:t>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w:t>
      </w:r>
    </w:p>
    <w:p w14:paraId="1A0C35DB" w14:textId="77777777" w:rsidR="00C53F10" w:rsidRDefault="003D679F">
      <w:pPr>
        <w:pStyle w:val="Titre2"/>
      </w:pPr>
      <w:bookmarkStart w:id="26" w:name="_Toc242191494"/>
      <w:r>
        <w:t>4.2. Présentation du pli, formats et signature</w:t>
      </w:r>
      <w:bookmarkEnd w:id="26"/>
    </w:p>
    <w:p w14:paraId="617ADBD6" w14:textId="77777777" w:rsidR="00C53F10" w:rsidRDefault="003D679F">
      <w:pPr>
        <w:spacing w:after="120"/>
        <w:jc w:val="both"/>
      </w:pPr>
      <w:r>
        <w:t>Le pli doit contenir deux dossiers distincts comportant respectivement les pièces de la candidature et les pièces de l’offre définies au présent règlement de la consultation. Les pièces « candidature » sont nommées de la façon suivante : DSP … ; les pièces « offre » : DSP … contrat …</w:t>
      </w:r>
    </w:p>
    <w:p w14:paraId="4150934F" w14:textId="77777777" w:rsidR="00C53F10" w:rsidRDefault="003D679F">
      <w:pPr>
        <w:spacing w:after="120"/>
        <w:jc w:val="both"/>
      </w:pPr>
      <w:r>
        <w:t>Les documents sont transmis dans des formats courants (.</w:t>
      </w:r>
      <w:proofErr w:type="spellStart"/>
      <w:r>
        <w:t>pdf</w:t>
      </w:r>
      <w:proofErr w:type="spellEnd"/>
      <w:r>
        <w:t>, .doc/.docx, .</w:t>
      </w:r>
      <w:proofErr w:type="spellStart"/>
      <w:r>
        <w:t>xls</w:t>
      </w:r>
      <w:proofErr w:type="spellEnd"/>
      <w:r>
        <w:t>/.xlsx, .zip…). Le soumissionnaire est invité à ne pas utiliser certains formats, notamment les « .exe », ni certains outils, notamment les « macros ».</w:t>
      </w:r>
    </w:p>
    <w:p w14:paraId="4B300D1F" w14:textId="77777777" w:rsidR="00C53F10" w:rsidRDefault="003D679F">
      <w:pPr>
        <w:spacing w:after="120"/>
        <w:jc w:val="both"/>
      </w:pPr>
      <w:r>
        <w:t>Les documents doivent être préalablement traités par les candidats à l’aide d’un antivirus régulièrement mis à jour. Tout document contenant un virus informatique fait l’objet d’un archivage de sécurité et est réputé n’avoir jamais été reçu ; le candidat concerné en est informé.</w:t>
      </w:r>
    </w:p>
    <w:p w14:paraId="0D744CC9" w14:textId="77777777" w:rsidR="00C53F10" w:rsidRDefault="003D679F">
      <w:pPr>
        <w:spacing w:after="120"/>
        <w:jc w:val="both"/>
      </w:pPr>
      <w:r>
        <w:t xml:space="preserve">Chaque pièce pour laquelle une signature est exigée doit faire l’objet d’une signature électronique individuelle et conforme au format </w:t>
      </w:r>
      <w:proofErr w:type="spellStart"/>
      <w:r>
        <w:t>XAdES</w:t>
      </w:r>
      <w:proofErr w:type="spellEnd"/>
      <w:r>
        <w:t xml:space="preserve">, </w:t>
      </w:r>
      <w:proofErr w:type="spellStart"/>
      <w:r>
        <w:t>CAdES</w:t>
      </w:r>
      <w:proofErr w:type="spellEnd"/>
      <w:r>
        <w:t xml:space="preserve"> ou </w:t>
      </w:r>
      <w:proofErr w:type="spellStart"/>
      <w:r>
        <w:t>PAdES</w:t>
      </w:r>
      <w:proofErr w:type="spellEnd"/>
      <w:r>
        <w:t>. La seule signature électronique du pli n’emporte pas valeur d’engagement du candidat.</w:t>
      </w:r>
    </w:p>
    <w:p w14:paraId="41B26B6C" w14:textId="77777777" w:rsidR="00C53F10" w:rsidRDefault="003D679F">
      <w:pPr>
        <w:spacing w:after="120"/>
        <w:jc w:val="both"/>
      </w:pPr>
      <w:r>
        <w:t>Le certificat de signature électronique doit être conforme au règlement (UE) n° 910/2014 (</w:t>
      </w:r>
      <w:proofErr w:type="spellStart"/>
      <w:r>
        <w:t>eIDAS</w:t>
      </w:r>
      <w:proofErr w:type="spellEnd"/>
      <w:r>
        <w:t>) et référencé sur une liste de confiance française ou d’un autre État membre de l’Union européenne. Le candidat est libre d’utiliser le certificat de son choix s’il respecte ces exigences ; il transmet alors tous les éléments nécessaires à la vérification de cette conformité.</w:t>
      </w:r>
    </w:p>
    <w:p w14:paraId="74CFF51C" w14:textId="77777777" w:rsidR="00C53F10" w:rsidRDefault="003D679F">
      <w:pPr>
        <w:spacing w:after="120"/>
        <w:jc w:val="both"/>
      </w:pPr>
      <w:r>
        <w:t>Les frais d’accès au réseau et de recours à la signature électronique sont à la charge des candidats.</w:t>
      </w:r>
    </w:p>
    <w:p w14:paraId="68FB1C12" w14:textId="77777777" w:rsidR="00C53F10" w:rsidRDefault="003D679F">
      <w:pPr>
        <w:pStyle w:val="Titre2"/>
      </w:pPr>
      <w:bookmarkStart w:id="27" w:name="_Toc242191495"/>
      <w:r>
        <w:t>4.3. Profil d’acheteur et dispositions diverses</w:t>
      </w:r>
      <w:bookmarkEnd w:id="27"/>
    </w:p>
    <w:p w14:paraId="0470C3C5" w14:textId="77777777" w:rsidR="00C53F10" w:rsidRDefault="003D679F">
      <w:pPr>
        <w:spacing w:after="120"/>
        <w:jc w:val="both"/>
      </w:pPr>
      <w:r>
        <w:t xml:space="preserve">Le candidat est invité à créer son « Espace entreprise » sur la plateforme (https://www.marches-publics.info). Il y retrouve l’ensemble de ses retraits de dossier de consultation. L’inscription est un préalable obligatoire pour correspondre avec l’acheteur lors de chaque consultation (questions/réponses, dépôt des candidatures et des offres…). Elle permet également de bénéficier d’un service d’alerte sur les consultations. Un service de dépôt « Attestation » permet au candidat de déposer en ligne son RIB, son </w:t>
      </w:r>
      <w:proofErr w:type="spellStart"/>
      <w:r>
        <w:t>Kbis</w:t>
      </w:r>
      <w:proofErr w:type="spellEnd"/>
      <w:r>
        <w:t>, ses attestations d’assurance, son attestation de régularité fiscale et son attestation sociale dans un coffre-fort sécurisé, accessible à l’ensemble des acheteurs utilisateurs de la plateforme. L’ensemble de ces services est fourni gratuitement au candidat. Les soumissionnaires disposent également d’une aide technique à l’utilisation de la salle des marchés, disponible sur le site.</w:t>
      </w:r>
    </w:p>
    <w:p w14:paraId="75131F40" w14:textId="77777777" w:rsidR="00C53F10" w:rsidRDefault="003D679F">
      <w:pPr>
        <w:keepNext/>
        <w:spacing w:after="120"/>
        <w:jc w:val="both"/>
      </w:pPr>
      <w:r>
        <w:lastRenderedPageBreak/>
        <w:t>Il est en outre précisé que :</w:t>
      </w:r>
    </w:p>
    <w:p w14:paraId="79A2CD69" w14:textId="1461283E" w:rsidR="00C53F10" w:rsidRDefault="008562A9">
      <w:pPr>
        <w:pStyle w:val="Paragraphedeliste"/>
        <w:numPr>
          <w:ilvl w:val="0"/>
          <w:numId w:val="2"/>
        </w:numPr>
        <w:spacing w:after="60"/>
        <w:jc w:val="both"/>
      </w:pPr>
      <w:r>
        <w:t>Les</w:t>
      </w:r>
      <w:r w:rsidR="003D679F">
        <w:t xml:space="preserve"> avis d’appel public à la concurrence en ligne sont consultables librement sans aucune contrainte d’identification ; ces avis ne sont pas officiels, seuls ceux du BOAMP et/ou du JOUE et/ou du journal d’annonces légales faisant foi en cas de discordance ;</w:t>
      </w:r>
    </w:p>
    <w:p w14:paraId="75AF3C63" w14:textId="1B916834" w:rsidR="00C53F10" w:rsidRDefault="008562A9">
      <w:pPr>
        <w:pStyle w:val="Paragraphedeliste"/>
        <w:numPr>
          <w:ilvl w:val="0"/>
          <w:numId w:val="2"/>
        </w:numPr>
        <w:spacing w:after="60"/>
        <w:jc w:val="both"/>
      </w:pPr>
      <w:r>
        <w:t>Les</w:t>
      </w:r>
      <w:r w:rsidR="003D679F">
        <w:t xml:space="preserve"> documents électroniques ont un contenu strictement identique aux documents diffusés dans le même cadre ;</w:t>
      </w:r>
    </w:p>
    <w:p w14:paraId="5EAC9CEC" w14:textId="7DD3E960" w:rsidR="00C53F10" w:rsidRDefault="008562A9">
      <w:pPr>
        <w:pStyle w:val="Paragraphedeliste"/>
        <w:numPr>
          <w:ilvl w:val="0"/>
          <w:numId w:val="2"/>
        </w:numPr>
        <w:spacing w:after="60"/>
        <w:jc w:val="both"/>
      </w:pPr>
      <w:r>
        <w:t>Le</w:t>
      </w:r>
      <w:r w:rsidR="003D679F">
        <w:t xml:space="preserve"> concédant s’engage sur l’intégralité des documents mis en ligne ; les documents imprimés sur papier et conservés dans les locaux de la Direction des Affaires Juridiques et de la Commande Publique sont les seuls faisant foi sous cette forme ;</w:t>
      </w:r>
    </w:p>
    <w:p w14:paraId="1F0CE66C" w14:textId="23E8219B" w:rsidR="00C53F10" w:rsidRDefault="008562A9">
      <w:pPr>
        <w:pStyle w:val="Paragraphedeliste"/>
        <w:numPr>
          <w:ilvl w:val="0"/>
          <w:numId w:val="2"/>
        </w:numPr>
        <w:spacing w:after="60"/>
        <w:jc w:val="both"/>
      </w:pPr>
      <w:r>
        <w:t>Le</w:t>
      </w:r>
      <w:r w:rsidR="003D679F">
        <w:t xml:space="preserve"> retrait des documents électroniques n’oblige pas le soumissionnaire à déposer une offre ;</w:t>
      </w:r>
    </w:p>
    <w:p w14:paraId="4CF08B29" w14:textId="458733C1" w:rsidR="00C53F10" w:rsidRDefault="008562A9">
      <w:pPr>
        <w:pStyle w:val="Paragraphedeliste"/>
        <w:numPr>
          <w:ilvl w:val="0"/>
          <w:numId w:val="2"/>
        </w:numPr>
        <w:spacing w:after="60"/>
        <w:jc w:val="both"/>
      </w:pPr>
      <w:r>
        <w:t>Le</w:t>
      </w:r>
      <w:r w:rsidR="003D679F">
        <w:t xml:space="preserve"> site offre la possibilité de télécharger le DCE de façon anonyme ; cette éventualité ne permet toutefois pas de recevoir les alertes relatives aux compléments et précisions apportés à la consultation, de sorte qu’il est fortement recommandé de télécharger les pièces en s’identifiant.</w:t>
      </w:r>
    </w:p>
    <w:p w14:paraId="43177A23" w14:textId="77777777" w:rsidR="00C53F10" w:rsidRDefault="003D679F">
      <w:pPr>
        <w:pStyle w:val="Titre1"/>
      </w:pPr>
      <w:bookmarkStart w:id="28" w:name="_Toc242191496"/>
      <w:r>
        <w:t>5. Renseignements complémentaires</w:t>
      </w:r>
      <w:bookmarkEnd w:id="28"/>
    </w:p>
    <w:p w14:paraId="76B56D2C" w14:textId="2B487EC8" w:rsidR="00C53F10" w:rsidRDefault="003D679F">
      <w:pPr>
        <w:spacing w:after="120"/>
        <w:jc w:val="both"/>
      </w:pPr>
      <w:r>
        <w:t>Les questions doivent être posées par la voie de la plateforme de dématérialisation au plus tard le</w:t>
      </w:r>
      <w:r w:rsidR="004F5752">
        <w:t xml:space="preserve"> </w:t>
      </w:r>
      <w:r>
        <w:t>jeudi 29 octobre 2026. Afin de garantir l’égalité de traitement des candidats, aucune question posée par un autre moyen n’est traitée ; il en va de même des questions relatives au personnel affecté au service (article 1.10).</w:t>
      </w:r>
    </w:p>
    <w:p w14:paraId="292A36BC" w14:textId="77777777" w:rsidR="00C53F10" w:rsidRDefault="003D679F">
      <w:pPr>
        <w:spacing w:after="120"/>
        <w:jc w:val="both"/>
      </w:pPr>
      <w:r>
        <w:t>Les réponses, accompagnées des questions rendues anonymes, sont transmises à tous les candidats s’étant inscrits sur la plateforme lors du téléchargement du DCE.</w:t>
      </w:r>
    </w:p>
    <w:p w14:paraId="5382869D" w14:textId="77777777" w:rsidR="00C53F10" w:rsidRDefault="003D679F">
      <w:pPr>
        <w:spacing w:after="120"/>
        <w:jc w:val="both"/>
      </w:pPr>
      <w:r>
        <w:t>Les réponses aux questions sont transmises selon un rythme hebdomadaire, dans un délai de 8 (huit) jours ouvrés à compter de la première question en suspens. Les dernières réponses sont transmises 6 jours au plus tard avant la date limite de réception des propositions.</w:t>
      </w:r>
    </w:p>
    <w:p w14:paraId="51731757" w14:textId="77777777" w:rsidR="00C53F10" w:rsidRDefault="003D679F">
      <w:pPr>
        <w:spacing w:after="120"/>
        <w:jc w:val="both"/>
      </w:pPr>
      <w:r>
        <w:t>Les questions et les réponses ainsi apportées sont considérées comme faisant partie intégrante du dossier de consultation.</w:t>
      </w:r>
    </w:p>
    <w:p w14:paraId="47534A6F" w14:textId="02BC4C06" w:rsidR="00C53F10" w:rsidRDefault="003D679F">
      <w:pPr>
        <w:spacing w:after="120"/>
        <w:jc w:val="both"/>
      </w:pPr>
      <w:r>
        <w:t xml:space="preserve">Les candidats sont libres de visiter le quartier afin de mieux cerner l’écosystème dans lequel s’inscrit le multi-accueil. La structure étant en fonctionnement et accueillant des enfants, l’accès aux locaux n’est ouvert que dans le cadre des éventuelles visites organisées par le concédant, dont les modalités seront communiquées via la plateforme </w:t>
      </w:r>
      <w:r w:rsidR="004F5752" w:rsidRPr="004F5752">
        <w:rPr>
          <w:u w:val="single"/>
        </w:rPr>
        <w:t>AWS</w:t>
      </w:r>
      <w:r w:rsidR="00393D39">
        <w:rPr>
          <w:u w:val="single"/>
        </w:rPr>
        <w:t xml:space="preserve"> (</w:t>
      </w:r>
      <w:hyperlink r:id="rId8" w:history="1">
        <w:r w:rsidR="00393D39">
          <w:rPr>
            <w:rStyle w:val="Lienhypertexte"/>
          </w:rPr>
          <w:t>https://www.marches-publics.info/</w:t>
        </w:r>
      </w:hyperlink>
      <w:proofErr w:type="gramStart"/>
      <w:r w:rsidR="00393D39">
        <w:t>)</w:t>
      </w:r>
      <w:r w:rsidR="00393D39">
        <w:rPr>
          <w:u w:val="single"/>
        </w:rPr>
        <w:t xml:space="preserve"> </w:t>
      </w:r>
      <w:r>
        <w:t>.</w:t>
      </w:r>
      <w:proofErr w:type="gramEnd"/>
    </w:p>
    <w:p w14:paraId="615B5864" w14:textId="77777777" w:rsidR="00C53F10" w:rsidRDefault="003D679F">
      <w:pPr>
        <w:pStyle w:val="Titre1"/>
      </w:pPr>
      <w:bookmarkStart w:id="29" w:name="_Toc242191497"/>
      <w:r>
        <w:t>6. Jugement des contestations</w:t>
      </w:r>
      <w:bookmarkEnd w:id="29"/>
    </w:p>
    <w:p w14:paraId="085AECE4" w14:textId="77777777" w:rsidR="00C53F10" w:rsidRDefault="003D679F">
      <w:pPr>
        <w:spacing w:after="120"/>
        <w:jc w:val="both"/>
      </w:pPr>
      <w:r>
        <w:t>L’instance chargée des procédures de recours est le Tribunal administratif de Versailles :</w:t>
      </w:r>
    </w:p>
    <w:p w14:paraId="233EA445" w14:textId="77777777" w:rsidR="00C53F10" w:rsidRDefault="003D679F">
      <w:pPr>
        <w:ind w:left="720"/>
      </w:pPr>
      <w:r>
        <w:rPr>
          <w:b/>
          <w:bCs/>
        </w:rPr>
        <w:t>Tribunal administratif de Versailles</w:t>
      </w:r>
    </w:p>
    <w:p w14:paraId="3530C2CF" w14:textId="77777777" w:rsidR="00C53F10" w:rsidRDefault="003D679F">
      <w:pPr>
        <w:ind w:left="720"/>
      </w:pPr>
      <w:r>
        <w:t>56, avenue de Saint-Cloud – 78011 Versailles</w:t>
      </w:r>
    </w:p>
    <w:p w14:paraId="2AAE4D93" w14:textId="77777777" w:rsidR="00C53F10" w:rsidRDefault="003D679F">
      <w:pPr>
        <w:ind w:left="720"/>
      </w:pPr>
      <w:r>
        <w:t>Téléphone : 01 39 20 54 00</w:t>
      </w:r>
    </w:p>
    <w:p w14:paraId="7BE2DA17" w14:textId="77777777" w:rsidR="00C53F10" w:rsidRDefault="003D679F">
      <w:pPr>
        <w:spacing w:after="160"/>
        <w:ind w:left="720"/>
      </w:pPr>
      <w:r>
        <w:t>Courriel : greffe.ta-versailles@juradm.fr</w:t>
      </w:r>
    </w:p>
    <w:p w14:paraId="48D58E74" w14:textId="77777777" w:rsidR="00C53F10" w:rsidRDefault="003D679F">
      <w:pPr>
        <w:keepNext/>
        <w:spacing w:after="120"/>
        <w:jc w:val="both"/>
      </w:pPr>
      <w:r>
        <w:t>Précisions concernant les délais d’introduction des recours :</w:t>
      </w:r>
    </w:p>
    <w:p w14:paraId="43C6D9C6" w14:textId="51C74EB1" w:rsidR="00C53F10" w:rsidRDefault="00E90A1D">
      <w:pPr>
        <w:pStyle w:val="Paragraphedeliste"/>
        <w:numPr>
          <w:ilvl w:val="0"/>
          <w:numId w:val="2"/>
        </w:numPr>
        <w:spacing w:after="60"/>
        <w:jc w:val="both"/>
      </w:pPr>
      <w:r>
        <w:t xml:space="preserve">Référé </w:t>
      </w:r>
      <w:r w:rsidR="003D679F">
        <w:t>précontractuel contre la procédure initiée par le concédant, à introduire avant la conclusion du contrat dans les conditions prévues aux articles L. 551-1 à L. 551-12 et R. 551-1 à R. 551-6 du Code de justice administrative ;</w:t>
      </w:r>
    </w:p>
    <w:p w14:paraId="3E9D4E68" w14:textId="5B0EA7A1" w:rsidR="00C53F10" w:rsidRDefault="00E90A1D">
      <w:pPr>
        <w:pStyle w:val="Paragraphedeliste"/>
        <w:numPr>
          <w:ilvl w:val="0"/>
          <w:numId w:val="2"/>
        </w:numPr>
        <w:spacing w:after="60"/>
        <w:jc w:val="both"/>
      </w:pPr>
      <w:r>
        <w:t xml:space="preserve">Référé </w:t>
      </w:r>
      <w:r w:rsidR="003D679F">
        <w:t>contractuel à compter de la signature du contrat, conformément aux articles L. 551-13 et R. 551-7 à R. 551-10 du Code de justice administrative, dans les délais mentionnés à l’article R. 551-7 du même code ;</w:t>
      </w:r>
    </w:p>
    <w:p w14:paraId="33D5BE94" w14:textId="5F901E4D" w:rsidR="00C53F10" w:rsidRDefault="00E90A1D">
      <w:pPr>
        <w:pStyle w:val="Paragraphedeliste"/>
        <w:numPr>
          <w:ilvl w:val="0"/>
          <w:numId w:val="2"/>
        </w:numPr>
        <w:spacing w:after="60"/>
        <w:jc w:val="both"/>
      </w:pPr>
      <w:r>
        <w:t>Re</w:t>
      </w:r>
      <w:r w:rsidR="003D679F">
        <w:t>cours pour excès de pouvoir contre une décision administrative, prévu aux articles R. 421-1 à R. 421-7 du Code de justice administrative, pouvant être exercé dans les 2 mois suivant la notification ou la publication de la décision (le recours ne peut plus, toutefois, être exercé après la signature du contrat) ;</w:t>
      </w:r>
    </w:p>
    <w:p w14:paraId="29FD0298" w14:textId="622440F0" w:rsidR="00C53F10" w:rsidRDefault="00E90A1D">
      <w:pPr>
        <w:pStyle w:val="Paragraphedeliste"/>
        <w:numPr>
          <w:ilvl w:val="0"/>
          <w:numId w:val="2"/>
        </w:numPr>
        <w:spacing w:after="60"/>
        <w:jc w:val="both"/>
      </w:pPr>
      <w:r>
        <w:lastRenderedPageBreak/>
        <w:t xml:space="preserve">Recours </w:t>
      </w:r>
      <w:r w:rsidR="003D679F">
        <w:t>de pleine juridiction ouvert aux tiers justifiant d’un intérêt lésé, ainsi qu’aux candidats évincés, tendant à la contestation de la validité du contrat (CE, Assemblée, 4 avril 2014, Département de Tarn-et-Garonne, n° 358994), pouvant être exercé dans les 2 mois à compter de l’accomplissement des mesures de publicité appropriées de la conclusion du contrat. Ce recours peut être assorti d’une demande de référé-suspension (article L. 521-1 du Code de justice administrative).</w:t>
      </w:r>
    </w:p>
    <w:p w14:paraId="7BC5DCA4" w14:textId="41C62FEF" w:rsidR="00C53F10" w:rsidRDefault="003D679F" w:rsidP="005675F2">
      <w:pPr>
        <w:spacing w:before="100" w:after="120"/>
        <w:jc w:val="both"/>
        <w:sectPr w:rsidR="00C53F10">
          <w:footerReference w:type="default" r:id="rId9"/>
          <w:pgSz w:w="11906" w:h="16838"/>
          <w:pgMar w:top="1300" w:right="1300" w:bottom="1200" w:left="1300" w:header="600" w:footer="500" w:gutter="0"/>
          <w:cols w:space="720"/>
          <w:docGrid w:linePitch="360"/>
        </w:sectPr>
      </w:pPr>
      <w:r>
        <w:t>Une fois exécutoire, le contrat peut être consulté par toute personne qui en fait la demande expresse auprès du concédant, dans les limites fixées par le Code des relations entre le public et l’administrat</w:t>
      </w:r>
      <w:r w:rsidR="002D77A5">
        <w:t>ion</w:t>
      </w:r>
    </w:p>
    <w:p w14:paraId="7B4E0ADE" w14:textId="3CC1CAAF" w:rsidR="002D77A5" w:rsidRPr="002D77A5" w:rsidRDefault="002D77A5" w:rsidP="002D77A5">
      <w:pPr>
        <w:tabs>
          <w:tab w:val="left" w:pos="1065"/>
        </w:tabs>
      </w:pPr>
    </w:p>
    <w:sectPr w:rsidR="002D77A5" w:rsidRPr="002D77A5">
      <w:footerReference w:type="default" r:id="rId10"/>
      <w:pgSz w:w="16838" w:h="11906" w:orient="landscape"/>
      <w:pgMar w:top="1000" w:right="700" w:bottom="900" w:left="700" w:header="500" w:footer="4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AAAD5" w14:textId="77777777" w:rsidR="00697A85" w:rsidRDefault="00697A85">
      <w:r>
        <w:separator/>
      </w:r>
    </w:p>
  </w:endnote>
  <w:endnote w:type="continuationSeparator" w:id="0">
    <w:p w14:paraId="1FE0E6C8" w14:textId="77777777" w:rsidR="00697A85" w:rsidRDefault="00697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FB4B8" w14:textId="77777777" w:rsidR="00C53F10" w:rsidRDefault="003D679F">
    <w:pPr>
      <w:pBdr>
        <w:top w:val="single" w:sz="4" w:space="4" w:color="BFBFBF"/>
      </w:pBdr>
      <w:tabs>
        <w:tab w:val="right" w:pos="9306"/>
      </w:tabs>
    </w:pPr>
    <w:r>
      <w:rPr>
        <w:color w:val="595959"/>
        <w:sz w:val="16"/>
        <w:szCs w:val="16"/>
      </w:rPr>
      <w:t xml:space="preserve">Massy – Règlement de consultation – Concession de service public du multi-accueil de </w:t>
    </w:r>
    <w:proofErr w:type="spellStart"/>
    <w:r>
      <w:rPr>
        <w:color w:val="595959"/>
        <w:sz w:val="16"/>
        <w:szCs w:val="16"/>
      </w:rPr>
      <w:t>Vilgénis</w:t>
    </w:r>
    <w:proofErr w:type="spellEnd"/>
    <w:r>
      <w:rPr>
        <w:color w:val="595959"/>
        <w:sz w:val="16"/>
        <w:szCs w:val="16"/>
      </w:rPr>
      <w:tab/>
      <w:t xml:space="preserve">Page </w:t>
    </w:r>
    <w:r>
      <w:rPr>
        <w:color w:val="595959"/>
        <w:sz w:val="16"/>
        <w:szCs w:val="16"/>
      </w:rPr>
      <w:fldChar w:fldCharType="begin"/>
    </w:r>
    <w:r>
      <w:rPr>
        <w:color w:val="595959"/>
        <w:sz w:val="16"/>
        <w:szCs w:val="16"/>
      </w:rPr>
      <w:instrText>PAGE</w:instrText>
    </w:r>
    <w:r>
      <w:rPr>
        <w:color w:val="595959"/>
        <w:sz w:val="16"/>
        <w:szCs w:val="16"/>
      </w:rPr>
      <w:fldChar w:fldCharType="separate"/>
    </w:r>
    <w:r w:rsidR="00E90A1D">
      <w:rPr>
        <w:noProof/>
        <w:color w:val="595959"/>
        <w:sz w:val="16"/>
        <w:szCs w:val="16"/>
      </w:rPr>
      <w:t>2</w:t>
    </w:r>
    <w:r>
      <w:rPr>
        <w:color w:val="595959"/>
        <w:sz w:val="16"/>
        <w:szCs w:val="16"/>
      </w:rPr>
      <w:fldChar w:fldCharType="end"/>
    </w:r>
    <w:r>
      <w:rPr>
        <w:color w:val="595959"/>
        <w:sz w:val="16"/>
        <w:szCs w:val="16"/>
      </w:rPr>
      <w:t xml:space="preserve"> | </w:t>
    </w:r>
    <w:r>
      <w:rPr>
        <w:color w:val="595959"/>
        <w:sz w:val="16"/>
        <w:szCs w:val="16"/>
      </w:rPr>
      <w:fldChar w:fldCharType="begin"/>
    </w:r>
    <w:r>
      <w:rPr>
        <w:color w:val="595959"/>
        <w:sz w:val="16"/>
        <w:szCs w:val="16"/>
      </w:rPr>
      <w:instrText>NUMPAGES</w:instrText>
    </w:r>
    <w:r>
      <w:rPr>
        <w:color w:val="595959"/>
        <w:sz w:val="16"/>
        <w:szCs w:val="16"/>
      </w:rPr>
      <w:fldChar w:fldCharType="separate"/>
    </w:r>
    <w:r w:rsidR="00E90A1D">
      <w:rPr>
        <w:noProof/>
        <w:color w:val="595959"/>
        <w:sz w:val="16"/>
        <w:szCs w:val="16"/>
      </w:rPr>
      <w:t>3</w:t>
    </w:r>
    <w:r>
      <w:rPr>
        <w:color w:val="595959"/>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D283D" w14:textId="3A60FF6D" w:rsidR="00C53F10" w:rsidRDefault="003D679F">
    <w:pPr>
      <w:pBdr>
        <w:top w:val="single" w:sz="4" w:space="4" w:color="BFBFBF"/>
      </w:pBdr>
      <w:tabs>
        <w:tab w:val="right" w:pos="15438"/>
      </w:tabs>
    </w:pPr>
    <w:r>
      <w:rPr>
        <w:color w:val="595959"/>
        <w:sz w:val="16"/>
        <w:szCs w:val="16"/>
      </w:rPr>
      <w:t xml:space="preserve">Massy – Règlement de consultation – Concession de service public du multi-accueil de </w:t>
    </w:r>
    <w:proofErr w:type="spellStart"/>
    <w:r>
      <w:rPr>
        <w:color w:val="595959"/>
        <w:sz w:val="16"/>
        <w:szCs w:val="16"/>
      </w:rPr>
      <w:t>Vilgénis</w:t>
    </w:r>
    <w:proofErr w:type="spellEnd"/>
    <w:r>
      <w:rPr>
        <w:color w:val="595959"/>
        <w:sz w:val="16"/>
        <w:szCs w:val="16"/>
      </w:rPr>
      <w:tab/>
      <w:t xml:space="preserve">Page </w:t>
    </w:r>
    <w:r>
      <w:rPr>
        <w:color w:val="595959"/>
        <w:sz w:val="16"/>
        <w:szCs w:val="16"/>
      </w:rPr>
      <w:fldChar w:fldCharType="begin"/>
    </w:r>
    <w:r>
      <w:rPr>
        <w:color w:val="595959"/>
        <w:sz w:val="16"/>
        <w:szCs w:val="16"/>
      </w:rPr>
      <w:instrText>PAGE</w:instrText>
    </w:r>
    <w:r>
      <w:rPr>
        <w:color w:val="595959"/>
        <w:sz w:val="16"/>
        <w:szCs w:val="16"/>
      </w:rPr>
      <w:fldChar w:fldCharType="separate"/>
    </w:r>
    <w:r w:rsidR="00E90A1D">
      <w:rPr>
        <w:noProof/>
        <w:color w:val="595959"/>
        <w:sz w:val="16"/>
        <w:szCs w:val="16"/>
      </w:rPr>
      <w:t>13</w:t>
    </w:r>
    <w:r>
      <w:rPr>
        <w:color w:val="595959"/>
        <w:sz w:val="16"/>
        <w:szCs w:val="16"/>
      </w:rPr>
      <w:fldChar w:fldCharType="end"/>
    </w:r>
    <w:r>
      <w:rPr>
        <w:color w:val="595959"/>
        <w:sz w:val="16"/>
        <w:szCs w:val="16"/>
      </w:rPr>
      <w:t xml:space="preserve"> | </w:t>
    </w:r>
    <w:r>
      <w:rPr>
        <w:color w:val="595959"/>
        <w:sz w:val="16"/>
        <w:szCs w:val="16"/>
      </w:rPr>
      <w:fldChar w:fldCharType="begin"/>
    </w:r>
    <w:r>
      <w:rPr>
        <w:color w:val="595959"/>
        <w:sz w:val="16"/>
        <w:szCs w:val="16"/>
      </w:rPr>
      <w:instrText>NUMPAGES</w:instrText>
    </w:r>
    <w:r>
      <w:rPr>
        <w:color w:val="595959"/>
        <w:sz w:val="16"/>
        <w:szCs w:val="16"/>
      </w:rPr>
      <w:fldChar w:fldCharType="separate"/>
    </w:r>
    <w:r w:rsidR="00E90A1D">
      <w:rPr>
        <w:noProof/>
        <w:color w:val="595959"/>
        <w:sz w:val="16"/>
        <w:szCs w:val="16"/>
      </w:rPr>
      <w:t>14</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41A5E" w14:textId="77777777" w:rsidR="00697A85" w:rsidRDefault="00697A85">
      <w:r>
        <w:separator/>
      </w:r>
    </w:p>
  </w:footnote>
  <w:footnote w:type="continuationSeparator" w:id="0">
    <w:p w14:paraId="4E7D5086" w14:textId="77777777" w:rsidR="00697A85" w:rsidRDefault="00697A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8E34A2"/>
    <w:multiLevelType w:val="hybridMultilevel"/>
    <w:tmpl w:val="EA78BBDA"/>
    <w:lvl w:ilvl="0" w:tplc="0CE064FE">
      <w:start w:val="1"/>
      <w:numFmt w:val="decimal"/>
      <w:lvlText w:val="%1."/>
      <w:lvlJc w:val="left"/>
      <w:pPr>
        <w:ind w:left="567" w:hanging="340"/>
      </w:pPr>
    </w:lvl>
    <w:lvl w:ilvl="1" w:tplc="C25E0AA4">
      <w:numFmt w:val="decimal"/>
      <w:lvlText w:val=""/>
      <w:lvlJc w:val="left"/>
    </w:lvl>
    <w:lvl w:ilvl="2" w:tplc="7B5AB038">
      <w:numFmt w:val="decimal"/>
      <w:lvlText w:val=""/>
      <w:lvlJc w:val="left"/>
    </w:lvl>
    <w:lvl w:ilvl="3" w:tplc="C42200F8">
      <w:numFmt w:val="decimal"/>
      <w:lvlText w:val=""/>
      <w:lvlJc w:val="left"/>
    </w:lvl>
    <w:lvl w:ilvl="4" w:tplc="6188F63A">
      <w:numFmt w:val="decimal"/>
      <w:lvlText w:val=""/>
      <w:lvlJc w:val="left"/>
    </w:lvl>
    <w:lvl w:ilvl="5" w:tplc="B51A3264">
      <w:numFmt w:val="decimal"/>
      <w:lvlText w:val=""/>
      <w:lvlJc w:val="left"/>
    </w:lvl>
    <w:lvl w:ilvl="6" w:tplc="B5668346">
      <w:numFmt w:val="decimal"/>
      <w:lvlText w:val=""/>
      <w:lvlJc w:val="left"/>
    </w:lvl>
    <w:lvl w:ilvl="7" w:tplc="780CD8D6">
      <w:numFmt w:val="decimal"/>
      <w:lvlText w:val=""/>
      <w:lvlJc w:val="left"/>
    </w:lvl>
    <w:lvl w:ilvl="8" w:tplc="2E002892">
      <w:numFmt w:val="decimal"/>
      <w:lvlText w:val=""/>
      <w:lvlJc w:val="left"/>
    </w:lvl>
  </w:abstractNum>
  <w:abstractNum w:abstractNumId="1" w15:restartNumberingAfterBreak="0">
    <w:nsid w:val="4FFE15C5"/>
    <w:multiLevelType w:val="hybridMultilevel"/>
    <w:tmpl w:val="C07874B4"/>
    <w:lvl w:ilvl="0" w:tplc="AEBCFF90">
      <w:start w:val="1"/>
      <w:numFmt w:val="bullet"/>
      <w:lvlText w:val="•"/>
      <w:lvlJc w:val="left"/>
      <w:pPr>
        <w:ind w:left="425" w:hanging="283"/>
      </w:pPr>
    </w:lvl>
    <w:lvl w:ilvl="1" w:tplc="BB7E472E">
      <w:start w:val="1"/>
      <w:numFmt w:val="bullet"/>
      <w:lvlText w:val="–"/>
      <w:lvlJc w:val="left"/>
      <w:pPr>
        <w:ind w:left="1134" w:hanging="283"/>
      </w:pPr>
    </w:lvl>
    <w:lvl w:ilvl="2" w:tplc="2E3C2884">
      <w:numFmt w:val="decimal"/>
      <w:lvlText w:val=""/>
      <w:lvlJc w:val="left"/>
    </w:lvl>
    <w:lvl w:ilvl="3" w:tplc="A11A0418">
      <w:numFmt w:val="decimal"/>
      <w:lvlText w:val=""/>
      <w:lvlJc w:val="left"/>
    </w:lvl>
    <w:lvl w:ilvl="4" w:tplc="766CAEC4">
      <w:numFmt w:val="decimal"/>
      <w:lvlText w:val=""/>
      <w:lvlJc w:val="left"/>
    </w:lvl>
    <w:lvl w:ilvl="5" w:tplc="47BE9FDA">
      <w:numFmt w:val="decimal"/>
      <w:lvlText w:val=""/>
      <w:lvlJc w:val="left"/>
    </w:lvl>
    <w:lvl w:ilvl="6" w:tplc="F9804BE2">
      <w:numFmt w:val="decimal"/>
      <w:lvlText w:val=""/>
      <w:lvlJc w:val="left"/>
    </w:lvl>
    <w:lvl w:ilvl="7" w:tplc="A698AB66">
      <w:numFmt w:val="decimal"/>
      <w:lvlText w:val=""/>
      <w:lvlJc w:val="left"/>
    </w:lvl>
    <w:lvl w:ilvl="8" w:tplc="D220ADCA">
      <w:numFmt w:val="decimal"/>
      <w:lvlText w:val=""/>
      <w:lvlJc w:val="left"/>
    </w:lvl>
  </w:abstractNum>
  <w:abstractNum w:abstractNumId="2" w15:restartNumberingAfterBreak="0">
    <w:nsid w:val="51835948"/>
    <w:multiLevelType w:val="hybridMultilevel"/>
    <w:tmpl w:val="DEDE923A"/>
    <w:lvl w:ilvl="0" w:tplc="2C785000">
      <w:start w:val="1"/>
      <w:numFmt w:val="bullet"/>
      <w:lvlText w:val="●"/>
      <w:lvlJc w:val="left"/>
      <w:pPr>
        <w:ind w:left="720" w:hanging="360"/>
      </w:pPr>
    </w:lvl>
    <w:lvl w:ilvl="1" w:tplc="A8CE63AA">
      <w:start w:val="1"/>
      <w:numFmt w:val="bullet"/>
      <w:lvlText w:val="○"/>
      <w:lvlJc w:val="left"/>
      <w:pPr>
        <w:ind w:left="1440" w:hanging="360"/>
      </w:pPr>
    </w:lvl>
    <w:lvl w:ilvl="2" w:tplc="0A5CA66C">
      <w:start w:val="1"/>
      <w:numFmt w:val="bullet"/>
      <w:lvlText w:val="■"/>
      <w:lvlJc w:val="left"/>
      <w:pPr>
        <w:ind w:left="2160" w:hanging="360"/>
      </w:pPr>
    </w:lvl>
    <w:lvl w:ilvl="3" w:tplc="2496FD72">
      <w:start w:val="1"/>
      <w:numFmt w:val="bullet"/>
      <w:lvlText w:val="●"/>
      <w:lvlJc w:val="left"/>
      <w:pPr>
        <w:ind w:left="2880" w:hanging="360"/>
      </w:pPr>
    </w:lvl>
    <w:lvl w:ilvl="4" w:tplc="98B01458">
      <w:start w:val="1"/>
      <w:numFmt w:val="bullet"/>
      <w:lvlText w:val="○"/>
      <w:lvlJc w:val="left"/>
      <w:pPr>
        <w:ind w:left="3600" w:hanging="360"/>
      </w:pPr>
    </w:lvl>
    <w:lvl w:ilvl="5" w:tplc="FC1EC9F4">
      <w:start w:val="1"/>
      <w:numFmt w:val="bullet"/>
      <w:lvlText w:val="■"/>
      <w:lvlJc w:val="left"/>
      <w:pPr>
        <w:ind w:left="4320" w:hanging="360"/>
      </w:pPr>
    </w:lvl>
    <w:lvl w:ilvl="6" w:tplc="18C8F4BA">
      <w:start w:val="1"/>
      <w:numFmt w:val="bullet"/>
      <w:lvlText w:val="●"/>
      <w:lvlJc w:val="left"/>
      <w:pPr>
        <w:ind w:left="5040" w:hanging="360"/>
      </w:pPr>
    </w:lvl>
    <w:lvl w:ilvl="7" w:tplc="40986D1E">
      <w:start w:val="1"/>
      <w:numFmt w:val="bullet"/>
      <w:lvlText w:val="●"/>
      <w:lvlJc w:val="left"/>
      <w:pPr>
        <w:ind w:left="5760" w:hanging="360"/>
      </w:pPr>
    </w:lvl>
    <w:lvl w:ilvl="8" w:tplc="8F1CBBD6">
      <w:start w:val="1"/>
      <w:numFmt w:val="bullet"/>
      <w:lvlText w:val="●"/>
      <w:lvlJc w:val="left"/>
      <w:pPr>
        <w:ind w:left="6480" w:hanging="360"/>
      </w:pPr>
    </w:lvl>
  </w:abstractNum>
  <w:abstractNum w:abstractNumId="3" w15:restartNumberingAfterBreak="0">
    <w:nsid w:val="5D7C3238"/>
    <w:multiLevelType w:val="hybridMultilevel"/>
    <w:tmpl w:val="74429E62"/>
    <w:lvl w:ilvl="0" w:tplc="9AE82E80">
      <w:start w:val="1"/>
      <w:numFmt w:val="bullet"/>
      <w:lvlText w:val="•"/>
      <w:lvlJc w:val="left"/>
      <w:pPr>
        <w:ind w:left="300" w:hanging="220"/>
      </w:pPr>
    </w:lvl>
    <w:lvl w:ilvl="1" w:tplc="3FCE3582">
      <w:numFmt w:val="decimal"/>
      <w:lvlText w:val=""/>
      <w:lvlJc w:val="left"/>
    </w:lvl>
    <w:lvl w:ilvl="2" w:tplc="086EBA66">
      <w:numFmt w:val="decimal"/>
      <w:lvlText w:val=""/>
      <w:lvlJc w:val="left"/>
    </w:lvl>
    <w:lvl w:ilvl="3" w:tplc="614C002C">
      <w:numFmt w:val="decimal"/>
      <w:lvlText w:val=""/>
      <w:lvlJc w:val="left"/>
    </w:lvl>
    <w:lvl w:ilvl="4" w:tplc="DB226A64">
      <w:numFmt w:val="decimal"/>
      <w:lvlText w:val=""/>
      <w:lvlJc w:val="left"/>
    </w:lvl>
    <w:lvl w:ilvl="5" w:tplc="DD1AAB38">
      <w:numFmt w:val="decimal"/>
      <w:lvlText w:val=""/>
      <w:lvlJc w:val="left"/>
    </w:lvl>
    <w:lvl w:ilvl="6" w:tplc="F250AB76">
      <w:numFmt w:val="decimal"/>
      <w:lvlText w:val=""/>
      <w:lvlJc w:val="left"/>
    </w:lvl>
    <w:lvl w:ilvl="7" w:tplc="48647AB0">
      <w:numFmt w:val="decimal"/>
      <w:lvlText w:val=""/>
      <w:lvlJc w:val="left"/>
    </w:lvl>
    <w:lvl w:ilvl="8" w:tplc="3DF8E2F4">
      <w:numFmt w:val="decimal"/>
      <w:lvlText w:val=""/>
      <w:lvlJc w:val="left"/>
    </w:lvl>
  </w:abstractNum>
  <w:num w:numId="1">
    <w:abstractNumId w:val="2"/>
    <w:lvlOverride w:ilvl="0">
      <w:startOverride w:val="1"/>
    </w:lvlOverride>
  </w:num>
  <w:num w:numId="2">
    <w:abstractNumId w:val="1"/>
    <w:lvlOverride w:ilvl="0">
      <w:startOverride w:val="1"/>
    </w:lvlOverride>
  </w:num>
  <w:num w:numId="3">
    <w:abstractNumId w:val="3"/>
    <w:lvlOverride w:ilvl="0">
      <w:startOverride w:val="1"/>
    </w:lvlOverride>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F10"/>
    <w:rsid w:val="000530FA"/>
    <w:rsid w:val="000B62C3"/>
    <w:rsid w:val="000D4914"/>
    <w:rsid w:val="000E173A"/>
    <w:rsid w:val="000F2F3D"/>
    <w:rsid w:val="000F57C1"/>
    <w:rsid w:val="00126D64"/>
    <w:rsid w:val="001737AC"/>
    <w:rsid w:val="001D2677"/>
    <w:rsid w:val="002012E6"/>
    <w:rsid w:val="00284EB0"/>
    <w:rsid w:val="002D77A5"/>
    <w:rsid w:val="00393D39"/>
    <w:rsid w:val="003D679F"/>
    <w:rsid w:val="004F5752"/>
    <w:rsid w:val="00520C4C"/>
    <w:rsid w:val="00542999"/>
    <w:rsid w:val="005675F2"/>
    <w:rsid w:val="00697A85"/>
    <w:rsid w:val="007C06CB"/>
    <w:rsid w:val="007E00B6"/>
    <w:rsid w:val="008562A9"/>
    <w:rsid w:val="0087712C"/>
    <w:rsid w:val="00A8684E"/>
    <w:rsid w:val="00AA06D7"/>
    <w:rsid w:val="00BD4361"/>
    <w:rsid w:val="00C53F10"/>
    <w:rsid w:val="00E047A5"/>
    <w:rsid w:val="00E44BA7"/>
    <w:rsid w:val="00E77372"/>
    <w:rsid w:val="00E90A1D"/>
    <w:rsid w:val="00EA479B"/>
    <w:rsid w:val="00F97E56"/>
    <w:rsid w:val="00FB1CC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86677"/>
  <w15:docId w15:val="{BF223091-E545-4CF3-8FD8-9D1FEBC16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1"/>
        <w:szCs w:val="21"/>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uiPriority w:val="9"/>
    <w:qFormat/>
    <w:pPr>
      <w:keepNext/>
      <w:pBdr>
        <w:bottom w:val="single" w:sz="8" w:space="2" w:color="E36C09"/>
      </w:pBdr>
      <w:spacing w:before="360" w:after="160"/>
      <w:outlineLvl w:val="0"/>
    </w:pPr>
    <w:rPr>
      <w:b/>
      <w:bCs/>
      <w:color w:val="17375E"/>
      <w:sz w:val="32"/>
      <w:szCs w:val="32"/>
    </w:rPr>
  </w:style>
  <w:style w:type="paragraph" w:styleId="Titre2">
    <w:name w:val="heading 2"/>
    <w:uiPriority w:val="9"/>
    <w:unhideWhenUsed/>
    <w:qFormat/>
    <w:pPr>
      <w:keepNext/>
      <w:spacing w:before="260" w:after="110"/>
      <w:outlineLvl w:val="1"/>
    </w:pPr>
    <w:rPr>
      <w:b/>
      <w:bCs/>
      <w:caps/>
      <w:color w:val="17375E"/>
      <w:sz w:val="23"/>
      <w:szCs w:val="23"/>
    </w:rPr>
  </w:style>
  <w:style w:type="paragraph" w:styleId="Titre3">
    <w:name w:val="heading 3"/>
    <w:uiPriority w:val="9"/>
    <w:unhideWhenUsed/>
    <w:qFormat/>
    <w:pPr>
      <w:keepNext/>
      <w:spacing w:before="180" w:after="80"/>
      <w:outlineLvl w:val="2"/>
    </w:pPr>
    <w:rPr>
      <w:b/>
      <w:bCs/>
      <w:color w:val="404040"/>
      <w:sz w:val="22"/>
      <w:szCs w:val="22"/>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rPr>
      <w:sz w:val="20"/>
      <w:szCs w:val="20"/>
    </w:rPr>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rPr>
      <w:sz w:val="20"/>
      <w:szCs w:val="20"/>
    </w:rPr>
  </w:style>
  <w:style w:type="character" w:customStyle="1" w:styleId="NotedefinCar">
    <w:name w:val="Note de fin Car"/>
    <w:link w:val="Notedefin"/>
    <w:uiPriority w:val="99"/>
    <w:semiHidden/>
    <w:unhideWhenUsed/>
    <w:rPr>
      <w:sz w:val="20"/>
      <w:szCs w:val="20"/>
    </w:rPr>
  </w:style>
  <w:style w:type="paragraph" w:customStyle="1" w:styleId="TitreSommaire">
    <w:name w:val="Titre Sommaire"/>
    <w:pPr>
      <w:spacing w:after="240"/>
    </w:pPr>
    <w:rPr>
      <w:b/>
      <w:bCs/>
      <w:color w:val="17375E"/>
      <w:sz w:val="36"/>
      <w:szCs w:val="36"/>
    </w:rPr>
  </w:style>
  <w:style w:type="paragraph" w:styleId="TM1">
    <w:name w:val="toc 1"/>
    <w:uiPriority w:val="39"/>
    <w:pPr>
      <w:spacing w:before="120" w:after="40"/>
    </w:pPr>
    <w:rPr>
      <w:b/>
      <w:bCs/>
    </w:rPr>
  </w:style>
  <w:style w:type="paragraph" w:styleId="TM2">
    <w:name w:val="toc 2"/>
    <w:uiPriority w:val="39"/>
    <w:pPr>
      <w:spacing w:after="20"/>
      <w:ind w:left="240"/>
    </w:pPr>
    <w:rPr>
      <w:sz w:val="20"/>
      <w:szCs w:val="20"/>
    </w:rPr>
  </w:style>
  <w:style w:type="character" w:styleId="Marquedecommentaire">
    <w:name w:val="annotation reference"/>
    <w:basedOn w:val="Policepardfaut"/>
    <w:uiPriority w:val="99"/>
    <w:semiHidden/>
    <w:unhideWhenUsed/>
    <w:rsid w:val="004F5752"/>
    <w:rPr>
      <w:sz w:val="16"/>
      <w:szCs w:val="16"/>
    </w:rPr>
  </w:style>
  <w:style w:type="paragraph" w:styleId="Commentaire">
    <w:name w:val="annotation text"/>
    <w:basedOn w:val="Normal"/>
    <w:link w:val="CommentaireCar"/>
    <w:uiPriority w:val="99"/>
    <w:semiHidden/>
    <w:unhideWhenUsed/>
    <w:rsid w:val="004F5752"/>
    <w:rPr>
      <w:sz w:val="20"/>
      <w:szCs w:val="20"/>
    </w:rPr>
  </w:style>
  <w:style w:type="character" w:customStyle="1" w:styleId="CommentaireCar">
    <w:name w:val="Commentaire Car"/>
    <w:basedOn w:val="Policepardfaut"/>
    <w:link w:val="Commentaire"/>
    <w:uiPriority w:val="99"/>
    <w:semiHidden/>
    <w:rsid w:val="004F5752"/>
    <w:rPr>
      <w:sz w:val="20"/>
      <w:szCs w:val="20"/>
    </w:rPr>
  </w:style>
  <w:style w:type="paragraph" w:styleId="Objetducommentaire">
    <w:name w:val="annotation subject"/>
    <w:basedOn w:val="Commentaire"/>
    <w:next w:val="Commentaire"/>
    <w:link w:val="ObjetducommentaireCar"/>
    <w:uiPriority w:val="99"/>
    <w:semiHidden/>
    <w:unhideWhenUsed/>
    <w:rsid w:val="004F5752"/>
    <w:rPr>
      <w:b/>
      <w:bCs/>
    </w:rPr>
  </w:style>
  <w:style w:type="character" w:customStyle="1" w:styleId="ObjetducommentaireCar">
    <w:name w:val="Objet du commentaire Car"/>
    <w:basedOn w:val="CommentaireCar"/>
    <w:link w:val="Objetducommentaire"/>
    <w:uiPriority w:val="99"/>
    <w:semiHidden/>
    <w:rsid w:val="004F5752"/>
    <w:rPr>
      <w:b/>
      <w:bCs/>
      <w:sz w:val="20"/>
      <w:szCs w:val="20"/>
    </w:rPr>
  </w:style>
  <w:style w:type="character" w:styleId="Lienhypertextesuivivisit">
    <w:name w:val="FollowedHyperlink"/>
    <w:basedOn w:val="Policepardfaut"/>
    <w:uiPriority w:val="99"/>
    <w:semiHidden/>
    <w:unhideWhenUsed/>
    <w:rsid w:val="00393D39"/>
    <w:rPr>
      <w:color w:val="954F72" w:themeColor="followedHyperlink"/>
      <w:u w:val="single"/>
    </w:rPr>
  </w:style>
  <w:style w:type="paragraph" w:styleId="En-tte">
    <w:name w:val="header"/>
    <w:basedOn w:val="Normal"/>
    <w:link w:val="En-tteCar"/>
    <w:uiPriority w:val="99"/>
    <w:unhideWhenUsed/>
    <w:rsid w:val="005675F2"/>
    <w:pPr>
      <w:tabs>
        <w:tab w:val="center" w:pos="4536"/>
        <w:tab w:val="right" w:pos="9072"/>
      </w:tabs>
    </w:pPr>
  </w:style>
  <w:style w:type="character" w:customStyle="1" w:styleId="En-tteCar">
    <w:name w:val="En-tête Car"/>
    <w:basedOn w:val="Policepardfaut"/>
    <w:link w:val="En-tte"/>
    <w:uiPriority w:val="99"/>
    <w:rsid w:val="005675F2"/>
  </w:style>
  <w:style w:type="paragraph" w:styleId="Pieddepage">
    <w:name w:val="footer"/>
    <w:basedOn w:val="Normal"/>
    <w:link w:val="PieddepageCar"/>
    <w:uiPriority w:val="99"/>
    <w:unhideWhenUsed/>
    <w:rsid w:val="005675F2"/>
    <w:pPr>
      <w:tabs>
        <w:tab w:val="center" w:pos="4536"/>
        <w:tab w:val="right" w:pos="9072"/>
      </w:tabs>
    </w:pPr>
  </w:style>
  <w:style w:type="character" w:customStyle="1" w:styleId="PieddepageCar">
    <w:name w:val="Pied de page Car"/>
    <w:basedOn w:val="Policepardfaut"/>
    <w:link w:val="Pieddepage"/>
    <w:uiPriority w:val="99"/>
    <w:rsid w:val="00567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311758">
      <w:bodyDiv w:val="1"/>
      <w:marLeft w:val="0"/>
      <w:marRight w:val="0"/>
      <w:marTop w:val="0"/>
      <w:marBottom w:val="0"/>
      <w:divBdr>
        <w:top w:val="none" w:sz="0" w:space="0" w:color="auto"/>
        <w:left w:val="none" w:sz="0" w:space="0" w:color="auto"/>
        <w:bottom w:val="none" w:sz="0" w:space="0" w:color="auto"/>
        <w:right w:val="none" w:sz="0" w:space="0" w:color="auto"/>
      </w:divBdr>
    </w:div>
    <w:div w:id="15856067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inf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3F3A2-09FA-4319-90F7-53537F3B9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6343</Words>
  <Characters>34892</Characters>
  <Application>Microsoft Office Word</Application>
  <DocSecurity>0</DocSecurity>
  <Lines>290</Lines>
  <Paragraphs>82</Paragraphs>
  <ScaleCrop>false</ScaleCrop>
  <HeadingPairs>
    <vt:vector size="2" baseType="variant">
      <vt:variant>
        <vt:lpstr>Titre</vt:lpstr>
      </vt:variant>
      <vt:variant>
        <vt:i4>1</vt:i4>
      </vt:variant>
    </vt:vector>
  </HeadingPairs>
  <TitlesOfParts>
    <vt:vector size="1" baseType="lpstr">
      <vt:lpstr>Règlement de consultation – Concession de service public du multi-accueil de Vilgénis</vt:lpstr>
    </vt:vector>
  </TitlesOfParts>
  <Company/>
  <LinksUpToDate>false</LinksUpToDate>
  <CharactersWithSpaces>41153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de consultation – Concession de service public du multi-accueil de Vilgénis</dc:title>
  <dc:creator>diaou.niang@mairie-massy.fr</dc:creator>
  <cp:lastModifiedBy>Diaou Niang</cp:lastModifiedBy>
  <cp:revision>2</cp:revision>
  <dcterms:created xsi:type="dcterms:W3CDTF">2026-10-22T15:28:00Z</dcterms:created>
  <dcterms:modified xsi:type="dcterms:W3CDTF">2026-10-22T15:28:00Z</dcterms:modified>
</cp:coreProperties>
</file>