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F61F5" w14:textId="77777777" w:rsidR="004D7A50" w:rsidRDefault="00000000">
      <w:pPr>
        <w:ind w:left="3760" w:right="3760"/>
        <w:rPr>
          <w:sz w:val="2"/>
        </w:rPr>
      </w:pPr>
      <w:r>
        <w:pict w14:anchorId="47AF6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77.25pt">
            <v:imagedata r:id="rId9" o:title=""/>
          </v:shape>
        </w:pict>
      </w:r>
    </w:p>
    <w:p w14:paraId="47AF61F6" w14:textId="77777777" w:rsidR="004D7A50" w:rsidRDefault="004D7A50">
      <w:pPr>
        <w:spacing w:after="160" w:line="240" w:lineRule="exact"/>
      </w:pPr>
    </w:p>
    <w:tbl>
      <w:tblPr>
        <w:tblW w:w="0" w:type="auto"/>
        <w:tblLayout w:type="fixed"/>
        <w:tblLook w:val="04A0" w:firstRow="1" w:lastRow="0" w:firstColumn="1" w:lastColumn="0" w:noHBand="0" w:noVBand="1"/>
      </w:tblPr>
      <w:tblGrid>
        <w:gridCol w:w="9620"/>
      </w:tblGrid>
      <w:tr w:rsidR="004D7A50" w14:paraId="47AF61F8" w14:textId="77777777">
        <w:tc>
          <w:tcPr>
            <w:tcW w:w="9620" w:type="dxa"/>
            <w:shd w:val="clear" w:color="666553" w:fill="666553"/>
            <w:tcMar>
              <w:top w:w="30" w:type="dxa"/>
              <w:left w:w="0" w:type="dxa"/>
              <w:bottom w:w="0" w:type="dxa"/>
              <w:right w:w="0" w:type="dxa"/>
            </w:tcMar>
            <w:vAlign w:val="center"/>
          </w:tcPr>
          <w:p w14:paraId="47AF61F7" w14:textId="77777777" w:rsidR="004D7A50" w:rsidRDefault="00E669DC">
            <w:pPr>
              <w:jc w:val="center"/>
              <w:rPr>
                <w:rFonts w:ascii="Century Gothic" w:eastAsia="Century Gothic" w:hAnsi="Century Gothic" w:cs="Century Gothic"/>
                <w:b/>
                <w:color w:val="FFFFFF"/>
                <w:sz w:val="28"/>
                <w:lang w:val="fr-FR"/>
              </w:rPr>
            </w:pPr>
            <w:r>
              <w:rPr>
                <w:rFonts w:ascii="Century Gothic" w:eastAsia="Century Gothic" w:hAnsi="Century Gothic" w:cs="Century Gothic"/>
                <w:b/>
                <w:color w:val="FFFFFF"/>
                <w:sz w:val="28"/>
                <w:lang w:val="fr-FR"/>
              </w:rPr>
              <w:t>RÈGLEMENT DE LA CONSULTATION</w:t>
            </w:r>
          </w:p>
        </w:tc>
      </w:tr>
    </w:tbl>
    <w:p w14:paraId="47AF61F9" w14:textId="77777777" w:rsidR="004D7A50" w:rsidRDefault="00E669DC">
      <w:pPr>
        <w:spacing w:line="240" w:lineRule="exact"/>
      </w:pPr>
      <w:r>
        <w:t xml:space="preserve"> </w:t>
      </w:r>
    </w:p>
    <w:p w14:paraId="47AF61FA" w14:textId="77777777" w:rsidR="004D7A50" w:rsidRDefault="004D7A50">
      <w:pPr>
        <w:spacing w:after="120" w:line="240" w:lineRule="exact"/>
      </w:pPr>
    </w:p>
    <w:p w14:paraId="47AF61FB" w14:textId="77777777" w:rsidR="004D7A50" w:rsidRDefault="00E669DC">
      <w:pPr>
        <w:jc w:val="center"/>
        <w:rPr>
          <w:rFonts w:ascii="Century Gothic" w:eastAsia="Century Gothic" w:hAnsi="Century Gothic" w:cs="Century Gothic"/>
          <w:b/>
          <w:color w:val="000000"/>
          <w:sz w:val="28"/>
          <w:lang w:val="fr-FR"/>
        </w:rPr>
      </w:pPr>
      <w:r>
        <w:rPr>
          <w:rFonts w:ascii="Century Gothic" w:eastAsia="Century Gothic" w:hAnsi="Century Gothic" w:cs="Century Gothic"/>
          <w:b/>
          <w:color w:val="000000"/>
          <w:sz w:val="28"/>
          <w:lang w:val="fr-FR"/>
        </w:rPr>
        <w:t>ACCORD-CADRE DE FOURNITURES COURANTES ET DE SERVICES</w:t>
      </w:r>
    </w:p>
    <w:p w14:paraId="47AF61FC" w14:textId="77777777" w:rsidR="004D7A50" w:rsidRDefault="004D7A50">
      <w:pPr>
        <w:spacing w:line="240" w:lineRule="exact"/>
      </w:pPr>
    </w:p>
    <w:p w14:paraId="47AF61FD" w14:textId="77777777" w:rsidR="004D7A50" w:rsidRDefault="004D7A50">
      <w:pPr>
        <w:spacing w:line="240" w:lineRule="exact"/>
      </w:pPr>
    </w:p>
    <w:p w14:paraId="47AF61FE" w14:textId="77777777" w:rsidR="004D7A50" w:rsidRDefault="004D7A50">
      <w:pPr>
        <w:spacing w:line="240" w:lineRule="exact"/>
      </w:pPr>
    </w:p>
    <w:p w14:paraId="47AF61FF" w14:textId="77777777" w:rsidR="004D7A50" w:rsidRDefault="004D7A50">
      <w:pPr>
        <w:spacing w:line="240" w:lineRule="exact"/>
      </w:pPr>
    </w:p>
    <w:p w14:paraId="47AF6200" w14:textId="77777777" w:rsidR="004D7A50" w:rsidRDefault="004D7A50">
      <w:pPr>
        <w:spacing w:line="240" w:lineRule="exact"/>
      </w:pPr>
    </w:p>
    <w:p w14:paraId="47AF6201" w14:textId="77777777" w:rsidR="004D7A50" w:rsidRDefault="004D7A50">
      <w:pPr>
        <w:spacing w:line="240" w:lineRule="exact"/>
      </w:pPr>
    </w:p>
    <w:p w14:paraId="47AF6202" w14:textId="77777777" w:rsidR="004D7A50" w:rsidRDefault="004D7A50">
      <w:pPr>
        <w:spacing w:line="240" w:lineRule="exact"/>
      </w:pPr>
    </w:p>
    <w:p w14:paraId="47AF6203" w14:textId="77777777" w:rsidR="004D7A50" w:rsidRDefault="004D7A50">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4D7A50" w14:paraId="47AF6207" w14:textId="77777777">
        <w:trPr>
          <w:trHeight w:val="1075"/>
        </w:trPr>
        <w:tc>
          <w:tcPr>
            <w:tcW w:w="1260" w:type="dxa"/>
            <w:tcMar>
              <w:top w:w="0" w:type="dxa"/>
              <w:left w:w="0" w:type="dxa"/>
              <w:bottom w:w="0" w:type="dxa"/>
              <w:right w:w="0" w:type="dxa"/>
            </w:tcMar>
          </w:tcPr>
          <w:p w14:paraId="47AF6204" w14:textId="77777777" w:rsidR="004D7A50" w:rsidRDefault="004D7A50">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7AF6205" w14:textId="5503EC12" w:rsidR="004D7A50" w:rsidRDefault="00C61805">
            <w:pPr>
              <w:spacing w:line="343" w:lineRule="exact"/>
              <w:jc w:val="center"/>
              <w:rPr>
                <w:rFonts w:ascii="Century Gothic" w:eastAsia="Century Gothic" w:hAnsi="Century Gothic" w:cs="Century Gothic"/>
                <w:b/>
                <w:color w:val="000000"/>
                <w:sz w:val="28"/>
                <w:lang w:val="fr-FR"/>
              </w:rPr>
            </w:pPr>
            <w:r w:rsidRPr="00C61805">
              <w:rPr>
                <w:rFonts w:ascii="Century Gothic" w:eastAsia="Century Gothic" w:hAnsi="Century Gothic" w:cs="Century Gothic"/>
                <w:b/>
                <w:color w:val="000000"/>
                <w:sz w:val="28"/>
                <w:lang w:val="fr-FR"/>
              </w:rPr>
              <w:t>Accord-cadre à bons de commande relatif à l’acquisition de pneumatiques, accessoires et prestations associées pour le parc auto de la Ville de Perpignan</w:t>
            </w:r>
          </w:p>
        </w:tc>
        <w:tc>
          <w:tcPr>
            <w:tcW w:w="1260" w:type="dxa"/>
            <w:tcMar>
              <w:top w:w="0" w:type="dxa"/>
              <w:left w:w="0" w:type="dxa"/>
              <w:bottom w:w="0" w:type="dxa"/>
              <w:right w:w="0" w:type="dxa"/>
            </w:tcMar>
          </w:tcPr>
          <w:p w14:paraId="47AF6206" w14:textId="77777777" w:rsidR="004D7A50" w:rsidRDefault="004D7A50">
            <w:pPr>
              <w:rPr>
                <w:sz w:val="2"/>
              </w:rPr>
            </w:pPr>
          </w:p>
        </w:tc>
      </w:tr>
      <w:tr w:rsidR="004D7A50" w14:paraId="47AF6209" w14:textId="77777777">
        <w:trPr>
          <w:trHeight w:val="294"/>
        </w:trPr>
        <w:tc>
          <w:tcPr>
            <w:tcW w:w="9620" w:type="dxa"/>
            <w:gridSpan w:val="3"/>
            <w:vMerge w:val="restart"/>
            <w:tcMar>
              <w:top w:w="0" w:type="dxa"/>
              <w:left w:w="0" w:type="dxa"/>
              <w:bottom w:w="0" w:type="dxa"/>
              <w:right w:w="0" w:type="dxa"/>
            </w:tcMar>
            <w:vAlign w:val="center"/>
          </w:tcPr>
          <w:p w14:paraId="47AF6208" w14:textId="77777777" w:rsidR="004D7A50" w:rsidRDefault="00E669DC">
            <w:pPr>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Date et heure limites de réception des offres :</w:t>
            </w:r>
          </w:p>
        </w:tc>
      </w:tr>
      <w:tr w:rsidR="004D7A50" w14:paraId="47AF620B" w14:textId="77777777">
        <w:trPr>
          <w:trHeight w:val="276"/>
        </w:trPr>
        <w:tc>
          <w:tcPr>
            <w:tcW w:w="9620" w:type="dxa"/>
            <w:gridSpan w:val="3"/>
            <w:vMerge/>
            <w:tcMar>
              <w:top w:w="0" w:type="dxa"/>
              <w:left w:w="0" w:type="dxa"/>
              <w:bottom w:w="0" w:type="dxa"/>
              <w:right w:w="0" w:type="dxa"/>
            </w:tcMar>
          </w:tcPr>
          <w:p w14:paraId="47AF620A" w14:textId="77777777" w:rsidR="004D7A50" w:rsidRDefault="004D7A50"/>
        </w:tc>
      </w:tr>
    </w:tbl>
    <w:p w14:paraId="47AF620C" w14:textId="6DADB01B" w:rsidR="004D7A50" w:rsidRDefault="003F72D3">
      <w:pPr>
        <w:spacing w:before="40"/>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V</w:t>
      </w:r>
      <w:r w:rsidR="00E669DC">
        <w:rPr>
          <w:rFonts w:ascii="Century Gothic" w:eastAsia="Century Gothic" w:hAnsi="Century Gothic" w:cs="Century Gothic"/>
          <w:color w:val="000000"/>
          <w:lang w:val="fr-FR"/>
        </w:rPr>
        <w:t xml:space="preserve">endredi </w:t>
      </w:r>
      <w:r w:rsidR="00DE5744">
        <w:rPr>
          <w:rFonts w:ascii="Century Gothic" w:eastAsia="Century Gothic" w:hAnsi="Century Gothic" w:cs="Century Gothic"/>
          <w:color w:val="000000"/>
          <w:lang w:val="fr-FR"/>
        </w:rPr>
        <w:t>20</w:t>
      </w:r>
      <w:r w:rsidR="00E669DC">
        <w:rPr>
          <w:rFonts w:ascii="Century Gothic" w:eastAsia="Century Gothic" w:hAnsi="Century Gothic" w:cs="Century Gothic"/>
          <w:color w:val="000000"/>
          <w:lang w:val="fr-FR"/>
        </w:rPr>
        <w:t xml:space="preserve"> </w:t>
      </w:r>
      <w:r w:rsidR="00897B9C">
        <w:rPr>
          <w:rFonts w:ascii="Century Gothic" w:eastAsia="Century Gothic" w:hAnsi="Century Gothic" w:cs="Century Gothic"/>
          <w:color w:val="000000"/>
          <w:lang w:val="fr-FR"/>
        </w:rPr>
        <w:t>novembre</w:t>
      </w:r>
      <w:r w:rsidR="00E669DC">
        <w:rPr>
          <w:rFonts w:ascii="Century Gothic" w:eastAsia="Century Gothic" w:hAnsi="Century Gothic" w:cs="Century Gothic"/>
          <w:color w:val="000000"/>
          <w:lang w:val="fr-FR"/>
        </w:rPr>
        <w:t xml:space="preserve"> 2026 à </w:t>
      </w:r>
      <w:proofErr w:type="gramStart"/>
      <w:r w:rsidR="00E669DC">
        <w:rPr>
          <w:rFonts w:ascii="Century Gothic" w:eastAsia="Century Gothic" w:hAnsi="Century Gothic" w:cs="Century Gothic"/>
          <w:color w:val="000000"/>
          <w:lang w:val="fr-FR"/>
        </w:rPr>
        <w:t>12:</w:t>
      </w:r>
      <w:proofErr w:type="gramEnd"/>
      <w:r w:rsidR="00E669DC">
        <w:rPr>
          <w:rFonts w:ascii="Century Gothic" w:eastAsia="Century Gothic" w:hAnsi="Century Gothic" w:cs="Century Gothic"/>
          <w:color w:val="000000"/>
          <w:lang w:val="fr-FR"/>
        </w:rPr>
        <w:t>00</w:t>
      </w:r>
    </w:p>
    <w:p w14:paraId="47AF620D" w14:textId="77777777" w:rsidR="004D7A50" w:rsidRDefault="004D7A50">
      <w:pPr>
        <w:spacing w:line="240" w:lineRule="exact"/>
      </w:pPr>
    </w:p>
    <w:p w14:paraId="47AF620E" w14:textId="77777777" w:rsidR="004D7A50" w:rsidRDefault="004D7A50">
      <w:pPr>
        <w:spacing w:line="240" w:lineRule="exact"/>
      </w:pPr>
    </w:p>
    <w:p w14:paraId="47AF620F" w14:textId="77777777" w:rsidR="004D7A50" w:rsidRDefault="004D7A50">
      <w:pPr>
        <w:spacing w:line="240" w:lineRule="exact"/>
      </w:pPr>
    </w:p>
    <w:p w14:paraId="47AF6210" w14:textId="77777777" w:rsidR="004D7A50" w:rsidRDefault="004D7A50">
      <w:pPr>
        <w:spacing w:line="240" w:lineRule="exact"/>
      </w:pPr>
    </w:p>
    <w:p w14:paraId="47AF6211" w14:textId="77777777" w:rsidR="004D7A50" w:rsidRDefault="004D7A50">
      <w:pPr>
        <w:spacing w:line="240" w:lineRule="exact"/>
      </w:pPr>
    </w:p>
    <w:p w14:paraId="47AF6212" w14:textId="77777777" w:rsidR="004D7A50" w:rsidRDefault="004D7A50">
      <w:pPr>
        <w:spacing w:line="240" w:lineRule="exact"/>
      </w:pPr>
    </w:p>
    <w:p w14:paraId="47AF6213" w14:textId="77777777" w:rsidR="004D7A50" w:rsidRDefault="004D7A50">
      <w:pPr>
        <w:spacing w:line="240" w:lineRule="exact"/>
      </w:pPr>
    </w:p>
    <w:p w14:paraId="47AF6214" w14:textId="77777777" w:rsidR="004D7A50" w:rsidRDefault="004D7A50">
      <w:pPr>
        <w:spacing w:line="240" w:lineRule="exact"/>
      </w:pPr>
    </w:p>
    <w:p w14:paraId="47AF6215" w14:textId="77777777" w:rsidR="004D7A50" w:rsidRDefault="00E669DC">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b/>
          <w:color w:val="000000"/>
          <w:lang w:val="fr-FR"/>
        </w:rPr>
        <w:t xml:space="preserve">Mairie de Perpignan </w:t>
      </w:r>
    </w:p>
    <w:p w14:paraId="47AF6216" w14:textId="77777777" w:rsidR="004D7A50" w:rsidRDefault="00E669DC">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Place de la Loge</w:t>
      </w:r>
    </w:p>
    <w:p w14:paraId="47AF6217" w14:textId="77777777" w:rsidR="004D7A50" w:rsidRDefault="00E669DC">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BP 20931</w:t>
      </w:r>
    </w:p>
    <w:p w14:paraId="47AF6218" w14:textId="77777777" w:rsidR="004D7A50" w:rsidRDefault="00E669DC">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66931 PERPIGNAN CEDEX</w:t>
      </w:r>
    </w:p>
    <w:p w14:paraId="47AF6219" w14:textId="77777777" w:rsidR="004D7A50" w:rsidRDefault="00E669DC">
      <w:pPr>
        <w:spacing w:line="294" w:lineRule="exact"/>
        <w:jc w:val="center"/>
        <w:rPr>
          <w:rFonts w:ascii="Century Gothic" w:eastAsia="Century Gothic" w:hAnsi="Century Gothic" w:cs="Century Gothic"/>
          <w:color w:val="000000"/>
          <w:lang w:val="fr-FR"/>
        </w:rPr>
        <w:sectPr w:rsidR="004D7A50">
          <w:pgSz w:w="11900" w:h="16840"/>
          <w:pgMar w:top="1400" w:right="1140" w:bottom="1440" w:left="1140" w:header="1400" w:footer="1440" w:gutter="0"/>
          <w:cols w:space="708"/>
        </w:sectPr>
      </w:pPr>
      <w:r>
        <w:rPr>
          <w:rFonts w:ascii="Century Gothic" w:eastAsia="Century Gothic" w:hAnsi="Century Gothic" w:cs="Century Gothic"/>
          <w:color w:val="000000"/>
          <w:lang w:val="fr-FR"/>
        </w:rPr>
        <w:t>Tél : 04 68 66 32 79</w:t>
      </w:r>
    </w:p>
    <w:p w14:paraId="47AF621A" w14:textId="77777777" w:rsidR="004D7A50" w:rsidRDefault="004D7A50">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4D7A50" w14:paraId="47AF621C"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47AF621B" w14:textId="77777777" w:rsidR="004D7A50" w:rsidRDefault="00E669DC">
            <w:pPr>
              <w:pStyle w:val="Titletable"/>
              <w:jc w:val="center"/>
              <w:rPr>
                <w:lang w:val="fr-FR"/>
              </w:rPr>
            </w:pPr>
            <w:r>
              <w:rPr>
                <w:lang w:val="fr-FR"/>
              </w:rPr>
              <w:t>L'ESSENTIEL DE LA PROCÉDURE</w:t>
            </w:r>
          </w:p>
        </w:tc>
      </w:tr>
      <w:tr w:rsidR="004D7A50" w14:paraId="47AF6221" w14:textId="77777777">
        <w:trPr>
          <w:trHeight w:val="85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1D" w14:textId="77777777" w:rsidR="004D7A50" w:rsidRDefault="004D7A50">
            <w:pPr>
              <w:spacing w:after="60" w:line="240" w:lineRule="exact"/>
            </w:pPr>
          </w:p>
          <w:p w14:paraId="47AF621E" w14:textId="77777777" w:rsidR="004D7A50" w:rsidRDefault="00000000">
            <w:pPr>
              <w:ind w:left="420"/>
              <w:rPr>
                <w:sz w:val="2"/>
              </w:rPr>
            </w:pPr>
            <w:r>
              <w:pict w14:anchorId="47AF6431">
                <v:shape id="_x0000_i1026"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1F" w14:textId="77777777" w:rsidR="004D7A50" w:rsidRDefault="00E669DC">
            <w:pPr>
              <w:spacing w:before="320" w:after="16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0" w14:textId="77777777" w:rsidR="004D7A50" w:rsidRDefault="00E669DC">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Acquisition de pneumatiques, fournitures, accessoires et réalisation de prestations associées pour le parc auto de la Ville de Perpignan </w:t>
            </w:r>
          </w:p>
        </w:tc>
      </w:tr>
      <w:tr w:rsidR="004D7A50" w14:paraId="47AF622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2" w14:textId="77777777" w:rsidR="004D7A50" w:rsidRDefault="004D7A50">
            <w:pPr>
              <w:spacing w:line="140" w:lineRule="exact"/>
              <w:rPr>
                <w:sz w:val="14"/>
              </w:rPr>
            </w:pPr>
          </w:p>
          <w:p w14:paraId="47AF6223" w14:textId="77777777" w:rsidR="004D7A50" w:rsidRDefault="00000000">
            <w:pPr>
              <w:ind w:left="420"/>
              <w:rPr>
                <w:sz w:val="2"/>
              </w:rPr>
            </w:pPr>
            <w:r>
              <w:pict w14:anchorId="47AF6432">
                <v:shape id="_x0000_i1027"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4"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5" w14:textId="77777777" w:rsidR="004D7A50" w:rsidRDefault="00E669DC">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Appel d'offres ouvert</w:t>
            </w:r>
          </w:p>
        </w:tc>
      </w:tr>
      <w:tr w:rsidR="004D7A50" w14:paraId="47AF622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7" w14:textId="77777777" w:rsidR="004D7A50" w:rsidRDefault="004D7A50">
            <w:pPr>
              <w:spacing w:line="140" w:lineRule="exact"/>
              <w:rPr>
                <w:sz w:val="14"/>
              </w:rPr>
            </w:pPr>
          </w:p>
          <w:p w14:paraId="47AF6228" w14:textId="77777777" w:rsidR="004D7A50" w:rsidRDefault="00000000">
            <w:pPr>
              <w:ind w:left="420"/>
              <w:rPr>
                <w:sz w:val="2"/>
              </w:rPr>
            </w:pPr>
            <w:r>
              <w:pict w14:anchorId="47AF6433">
                <v:shape id="_x0000_i1028"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9"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A" w14:textId="77777777" w:rsidR="004D7A50" w:rsidRDefault="00E669DC">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Accord-cadre</w:t>
            </w:r>
          </w:p>
        </w:tc>
      </w:tr>
      <w:tr w:rsidR="004D7A50" w14:paraId="47AF623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C" w14:textId="77777777" w:rsidR="004D7A50" w:rsidRDefault="004D7A50">
            <w:pPr>
              <w:spacing w:line="140" w:lineRule="exact"/>
              <w:rPr>
                <w:sz w:val="14"/>
              </w:rPr>
            </w:pPr>
          </w:p>
          <w:p w14:paraId="47AF622D" w14:textId="77777777" w:rsidR="004D7A50" w:rsidRDefault="00000000">
            <w:pPr>
              <w:ind w:left="420"/>
              <w:rPr>
                <w:sz w:val="2"/>
              </w:rPr>
            </w:pPr>
            <w:r>
              <w:pict w14:anchorId="47AF6434">
                <v:shape id="_x0000_i1029"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E"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2F" w14:textId="77777777" w:rsidR="004D7A50" w:rsidRDefault="00E669DC">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w:t>
            </w:r>
          </w:p>
        </w:tc>
      </w:tr>
      <w:tr w:rsidR="004D7A50" w14:paraId="47AF6235"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1" w14:textId="77777777" w:rsidR="004D7A50" w:rsidRDefault="004D7A50">
            <w:pPr>
              <w:spacing w:line="160" w:lineRule="exact"/>
              <w:rPr>
                <w:sz w:val="16"/>
              </w:rPr>
            </w:pPr>
          </w:p>
          <w:p w14:paraId="47AF6232" w14:textId="77777777" w:rsidR="004D7A50" w:rsidRDefault="00000000">
            <w:pPr>
              <w:ind w:left="420"/>
              <w:rPr>
                <w:sz w:val="2"/>
              </w:rPr>
            </w:pPr>
            <w:r>
              <w:pict w14:anchorId="47AF6435">
                <v:shape id="_x0000_i1030"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3" w14:textId="77777777" w:rsidR="004D7A50" w:rsidRDefault="00E669DC">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4" w14:textId="77777777" w:rsidR="004D7A50" w:rsidRDefault="00E669DC">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120 jours</w:t>
            </w:r>
          </w:p>
        </w:tc>
      </w:tr>
      <w:tr w:rsidR="004D7A50" w14:paraId="47AF623A"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6" w14:textId="77777777" w:rsidR="004D7A50" w:rsidRDefault="004D7A50">
            <w:pPr>
              <w:spacing w:line="160" w:lineRule="exact"/>
              <w:rPr>
                <w:sz w:val="16"/>
              </w:rPr>
            </w:pPr>
          </w:p>
          <w:p w14:paraId="47AF6237" w14:textId="77777777" w:rsidR="004D7A50" w:rsidRDefault="00000000">
            <w:pPr>
              <w:ind w:left="420"/>
              <w:rPr>
                <w:sz w:val="2"/>
              </w:rPr>
            </w:pPr>
            <w:r>
              <w:pict w14:anchorId="47AF6436">
                <v:shape id="_x0000_i1031"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8" w14:textId="77777777" w:rsidR="004D7A50" w:rsidRDefault="00E669DC">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9" w14:textId="77777777" w:rsidR="004D7A50" w:rsidRDefault="00E669DC">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Aucune forme de groupement imposée à l'attributaire</w:t>
            </w:r>
          </w:p>
        </w:tc>
      </w:tr>
      <w:tr w:rsidR="004D7A50" w14:paraId="47AF623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B" w14:textId="77777777" w:rsidR="004D7A50" w:rsidRDefault="004D7A50">
            <w:pPr>
              <w:spacing w:line="140" w:lineRule="exact"/>
              <w:rPr>
                <w:sz w:val="14"/>
              </w:rPr>
            </w:pPr>
          </w:p>
          <w:p w14:paraId="47AF623C" w14:textId="77777777" w:rsidR="004D7A50" w:rsidRDefault="00000000">
            <w:pPr>
              <w:ind w:left="420"/>
              <w:rPr>
                <w:sz w:val="2"/>
              </w:rPr>
            </w:pPr>
            <w:r>
              <w:pict w14:anchorId="47AF6437">
                <v:shape id="_x0000_i1032"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D"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3E" w14:textId="77777777" w:rsidR="004D7A50" w:rsidRDefault="00E669DC">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r w:rsidR="004D7A50" w14:paraId="47AF62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0" w14:textId="77777777" w:rsidR="004D7A50" w:rsidRDefault="004D7A50">
            <w:pPr>
              <w:spacing w:line="140" w:lineRule="exact"/>
              <w:rPr>
                <w:sz w:val="14"/>
              </w:rPr>
            </w:pPr>
          </w:p>
          <w:p w14:paraId="47AF6241" w14:textId="77777777" w:rsidR="004D7A50" w:rsidRDefault="00000000">
            <w:pPr>
              <w:ind w:left="420"/>
              <w:rPr>
                <w:sz w:val="2"/>
              </w:rPr>
            </w:pPr>
            <w:r>
              <w:pict w14:anchorId="47AF6438">
                <v:shape id="_x0000_i1033"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2"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3" w14:textId="2FF6E6F3" w:rsidR="004D7A50" w:rsidRDefault="009868C5">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Avec</w:t>
            </w:r>
            <w:r w:rsidR="00810741">
              <w:rPr>
                <w:rFonts w:ascii="Century Gothic" w:eastAsia="Century Gothic" w:hAnsi="Century Gothic" w:cs="Century Gothic"/>
                <w:color w:val="000000"/>
                <w:sz w:val="22"/>
                <w:lang w:val="fr-FR"/>
              </w:rPr>
              <w:t xml:space="preserve"> (uniquement pour le lot 2) </w:t>
            </w:r>
          </w:p>
        </w:tc>
      </w:tr>
      <w:tr w:rsidR="004D7A50" w14:paraId="47AF624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5" w14:textId="77777777" w:rsidR="004D7A50" w:rsidRDefault="004D7A50">
            <w:pPr>
              <w:spacing w:line="140" w:lineRule="exact"/>
              <w:rPr>
                <w:sz w:val="14"/>
              </w:rPr>
            </w:pPr>
          </w:p>
          <w:p w14:paraId="47AF6246" w14:textId="77777777" w:rsidR="004D7A50" w:rsidRDefault="00000000">
            <w:pPr>
              <w:ind w:left="420"/>
              <w:rPr>
                <w:sz w:val="2"/>
              </w:rPr>
            </w:pPr>
            <w:r>
              <w:pict w14:anchorId="47AF6439">
                <v:shape id="_x0000_i1034"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7"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8" w14:textId="36468AE6" w:rsidR="004D7A50" w:rsidRDefault="00D90ABE">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Avec (uniquement pour le lot 2)</w:t>
            </w:r>
          </w:p>
        </w:tc>
      </w:tr>
      <w:tr w:rsidR="004D7A50" w14:paraId="47AF624E"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A" w14:textId="77777777" w:rsidR="004D7A50" w:rsidRDefault="004D7A50">
            <w:pPr>
              <w:spacing w:line="160" w:lineRule="exact"/>
              <w:rPr>
                <w:sz w:val="16"/>
              </w:rPr>
            </w:pPr>
          </w:p>
          <w:p w14:paraId="47AF624B" w14:textId="77777777" w:rsidR="004D7A50" w:rsidRDefault="00000000">
            <w:pPr>
              <w:ind w:left="420"/>
              <w:rPr>
                <w:sz w:val="2"/>
              </w:rPr>
            </w:pPr>
            <w:r>
              <w:pict w14:anchorId="47AF643A">
                <v:shape id="_x0000_i1035"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C" w14:textId="77777777" w:rsidR="004D7A50" w:rsidRDefault="00E669DC">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D" w14:textId="77777777" w:rsidR="004D7A50" w:rsidRDefault="00E669DC">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Avec</w:t>
            </w:r>
          </w:p>
        </w:tc>
      </w:tr>
      <w:tr w:rsidR="004D7A50" w14:paraId="47AF625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4F" w14:textId="77777777" w:rsidR="004D7A50" w:rsidRDefault="004D7A50">
            <w:pPr>
              <w:spacing w:line="140" w:lineRule="exact"/>
              <w:rPr>
                <w:sz w:val="14"/>
              </w:rPr>
            </w:pPr>
          </w:p>
          <w:p w14:paraId="47AF6250" w14:textId="77777777" w:rsidR="004D7A50" w:rsidRDefault="00000000">
            <w:pPr>
              <w:ind w:left="420"/>
              <w:rPr>
                <w:sz w:val="2"/>
              </w:rPr>
            </w:pPr>
            <w:r>
              <w:pict w14:anchorId="47AF643B">
                <v:shape id="_x0000_i1036"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51" w14:textId="33A283E5"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 xml:space="preserve">Durée </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52" w14:textId="1CAB10F0" w:rsidR="004D7A50" w:rsidRDefault="005C0D7D">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Période initiale de 12 mois </w:t>
            </w:r>
          </w:p>
        </w:tc>
      </w:tr>
      <w:tr w:rsidR="004D7A50" w14:paraId="47AF625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54" w14:textId="77777777" w:rsidR="004D7A50" w:rsidRDefault="004D7A50">
            <w:pPr>
              <w:spacing w:line="140" w:lineRule="exact"/>
              <w:rPr>
                <w:sz w:val="14"/>
              </w:rPr>
            </w:pPr>
          </w:p>
          <w:p w14:paraId="47AF6255" w14:textId="77777777" w:rsidR="004D7A50" w:rsidRDefault="00000000">
            <w:pPr>
              <w:ind w:left="420"/>
              <w:rPr>
                <w:sz w:val="2"/>
              </w:rPr>
            </w:pPr>
            <w:r>
              <w:pict w14:anchorId="47AF643C">
                <v:shape id="_x0000_i1037" type="#_x0000_t75" style="width:18pt;height:18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56" w14:textId="77777777" w:rsidR="004D7A50" w:rsidRDefault="00E669DC">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57" w14:textId="77777777" w:rsidR="004D7A50" w:rsidRDefault="00E669DC">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bl>
    <w:p w14:paraId="47AF6259" w14:textId="77777777" w:rsidR="004D7A50" w:rsidRDefault="004D7A50">
      <w:pPr>
        <w:sectPr w:rsidR="004D7A50">
          <w:pgSz w:w="11900" w:h="16840"/>
          <w:pgMar w:top="1440" w:right="1160" w:bottom="1440" w:left="1140" w:header="1440" w:footer="1440" w:gutter="0"/>
          <w:cols w:space="708"/>
        </w:sectPr>
      </w:pPr>
    </w:p>
    <w:p w14:paraId="47AF625A" w14:textId="77777777" w:rsidR="004D7A50" w:rsidRDefault="00E669DC">
      <w:pPr>
        <w:spacing w:after="60"/>
        <w:jc w:val="center"/>
        <w:rPr>
          <w:rFonts w:ascii="Century Gothic" w:eastAsia="Century Gothic" w:hAnsi="Century Gothic" w:cs="Century Gothic"/>
          <w:b/>
          <w:color w:val="000000"/>
          <w:lang w:val="fr-FR"/>
        </w:rPr>
      </w:pPr>
      <w:r>
        <w:rPr>
          <w:rFonts w:ascii="Century Gothic" w:eastAsia="Century Gothic" w:hAnsi="Century Gothic" w:cs="Century Gothic"/>
          <w:b/>
          <w:color w:val="000000"/>
          <w:lang w:val="fr-FR"/>
        </w:rPr>
        <w:lastRenderedPageBreak/>
        <w:t>SOMMAIRE</w:t>
      </w:r>
    </w:p>
    <w:p w14:paraId="47AF625B" w14:textId="77777777" w:rsidR="004D7A50" w:rsidRDefault="004D7A50">
      <w:pPr>
        <w:spacing w:after="80" w:line="240" w:lineRule="exact"/>
      </w:pPr>
    </w:p>
    <w:p w14:paraId="239A0982" w14:textId="4250D2A5" w:rsidR="008051ED" w:rsidRDefault="00E669DC">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Century Gothic" w:eastAsia="Century Gothic" w:hAnsi="Century Gothic" w:cs="Century Gothic"/>
          <w:color w:val="000000"/>
          <w:sz w:val="22"/>
          <w:lang w:val="fr-FR"/>
        </w:rPr>
        <w:fldChar w:fldCharType="begin"/>
      </w:r>
      <w:r>
        <w:rPr>
          <w:rFonts w:ascii="Century Gothic" w:eastAsia="Century Gothic" w:hAnsi="Century Gothic" w:cs="Century Gothic"/>
          <w:color w:val="000000"/>
          <w:sz w:val="22"/>
          <w:lang w:val="fr-FR"/>
        </w:rPr>
        <w:instrText xml:space="preserve"> TOC \h </w:instrText>
      </w:r>
      <w:r>
        <w:rPr>
          <w:rFonts w:ascii="Century Gothic" w:eastAsia="Century Gothic" w:hAnsi="Century Gothic" w:cs="Century Gothic"/>
          <w:color w:val="000000"/>
          <w:sz w:val="22"/>
          <w:lang w:val="fr-FR"/>
        </w:rPr>
        <w:fldChar w:fldCharType="separate"/>
      </w:r>
      <w:hyperlink w:anchor="_Toc241676008" w:history="1">
        <w:r w:rsidR="008051ED" w:rsidRPr="0057085F">
          <w:rPr>
            <w:rStyle w:val="Lienhypertexte"/>
            <w:rFonts w:ascii="Century Gothic" w:eastAsia="Century Gothic" w:hAnsi="Century Gothic" w:cs="Century Gothic"/>
            <w:noProof/>
            <w:lang w:val="fr-FR"/>
          </w:rPr>
          <w:t>1 - Objet et étendue de la consultation</w:t>
        </w:r>
        <w:r w:rsidR="008051ED">
          <w:rPr>
            <w:noProof/>
          </w:rPr>
          <w:tab/>
        </w:r>
        <w:r w:rsidR="008051ED">
          <w:rPr>
            <w:noProof/>
          </w:rPr>
          <w:fldChar w:fldCharType="begin"/>
        </w:r>
        <w:r w:rsidR="008051ED">
          <w:rPr>
            <w:noProof/>
          </w:rPr>
          <w:instrText xml:space="preserve"> PAGEREF _Toc241676008 \h </w:instrText>
        </w:r>
        <w:r w:rsidR="008051ED">
          <w:rPr>
            <w:noProof/>
          </w:rPr>
        </w:r>
        <w:r w:rsidR="008051ED">
          <w:rPr>
            <w:noProof/>
          </w:rPr>
          <w:fldChar w:fldCharType="separate"/>
        </w:r>
        <w:r w:rsidR="008051ED">
          <w:rPr>
            <w:noProof/>
          </w:rPr>
          <w:t>4</w:t>
        </w:r>
        <w:r w:rsidR="008051ED">
          <w:rPr>
            <w:noProof/>
          </w:rPr>
          <w:fldChar w:fldCharType="end"/>
        </w:r>
      </w:hyperlink>
    </w:p>
    <w:p w14:paraId="676B8469" w14:textId="78249C2D"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09" w:history="1">
        <w:r w:rsidRPr="0057085F">
          <w:rPr>
            <w:rStyle w:val="Lienhypertexte"/>
            <w:rFonts w:ascii="Century Gothic" w:eastAsia="Century Gothic" w:hAnsi="Century Gothic" w:cs="Century Gothic"/>
            <w:noProof/>
            <w:lang w:val="fr-FR"/>
          </w:rPr>
          <w:t>1.1 - Objet</w:t>
        </w:r>
        <w:r>
          <w:rPr>
            <w:noProof/>
          </w:rPr>
          <w:tab/>
        </w:r>
        <w:r>
          <w:rPr>
            <w:noProof/>
          </w:rPr>
          <w:fldChar w:fldCharType="begin"/>
        </w:r>
        <w:r>
          <w:rPr>
            <w:noProof/>
          </w:rPr>
          <w:instrText xml:space="preserve"> PAGEREF _Toc241676009 \h </w:instrText>
        </w:r>
        <w:r>
          <w:rPr>
            <w:noProof/>
          </w:rPr>
        </w:r>
        <w:r>
          <w:rPr>
            <w:noProof/>
          </w:rPr>
          <w:fldChar w:fldCharType="separate"/>
        </w:r>
        <w:r>
          <w:rPr>
            <w:noProof/>
          </w:rPr>
          <w:t>4</w:t>
        </w:r>
        <w:r>
          <w:rPr>
            <w:noProof/>
          </w:rPr>
          <w:fldChar w:fldCharType="end"/>
        </w:r>
      </w:hyperlink>
    </w:p>
    <w:p w14:paraId="22C3953A" w14:textId="1E0AE4CE"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0" w:history="1">
        <w:r w:rsidRPr="0057085F">
          <w:rPr>
            <w:rStyle w:val="Lienhypertexte"/>
            <w:rFonts w:ascii="Century Gothic" w:eastAsia="Century Gothic" w:hAnsi="Century Gothic" w:cs="Century Gothic"/>
            <w:noProof/>
            <w:lang w:val="fr-FR"/>
          </w:rPr>
          <w:t>1.2 - Mode de passation</w:t>
        </w:r>
        <w:r>
          <w:rPr>
            <w:noProof/>
          </w:rPr>
          <w:tab/>
        </w:r>
        <w:r>
          <w:rPr>
            <w:noProof/>
          </w:rPr>
          <w:fldChar w:fldCharType="begin"/>
        </w:r>
        <w:r>
          <w:rPr>
            <w:noProof/>
          </w:rPr>
          <w:instrText xml:space="preserve"> PAGEREF _Toc241676010 \h </w:instrText>
        </w:r>
        <w:r>
          <w:rPr>
            <w:noProof/>
          </w:rPr>
        </w:r>
        <w:r>
          <w:rPr>
            <w:noProof/>
          </w:rPr>
          <w:fldChar w:fldCharType="separate"/>
        </w:r>
        <w:r>
          <w:rPr>
            <w:noProof/>
          </w:rPr>
          <w:t>4</w:t>
        </w:r>
        <w:r>
          <w:rPr>
            <w:noProof/>
          </w:rPr>
          <w:fldChar w:fldCharType="end"/>
        </w:r>
      </w:hyperlink>
    </w:p>
    <w:p w14:paraId="444086D2" w14:textId="2FA1EF6A"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1" w:history="1">
        <w:r w:rsidRPr="0057085F">
          <w:rPr>
            <w:rStyle w:val="Lienhypertexte"/>
            <w:rFonts w:ascii="Century Gothic" w:eastAsia="Century Gothic" w:hAnsi="Century Gothic" w:cs="Century Gothic"/>
            <w:noProof/>
            <w:lang w:val="fr-FR"/>
          </w:rPr>
          <w:t>1.3 - Type et forme de contrat</w:t>
        </w:r>
        <w:r>
          <w:rPr>
            <w:noProof/>
          </w:rPr>
          <w:tab/>
        </w:r>
        <w:r>
          <w:rPr>
            <w:noProof/>
          </w:rPr>
          <w:fldChar w:fldCharType="begin"/>
        </w:r>
        <w:r>
          <w:rPr>
            <w:noProof/>
          </w:rPr>
          <w:instrText xml:space="preserve"> PAGEREF _Toc241676011 \h </w:instrText>
        </w:r>
        <w:r>
          <w:rPr>
            <w:noProof/>
          </w:rPr>
        </w:r>
        <w:r>
          <w:rPr>
            <w:noProof/>
          </w:rPr>
          <w:fldChar w:fldCharType="separate"/>
        </w:r>
        <w:r>
          <w:rPr>
            <w:noProof/>
          </w:rPr>
          <w:t>4</w:t>
        </w:r>
        <w:r>
          <w:rPr>
            <w:noProof/>
          </w:rPr>
          <w:fldChar w:fldCharType="end"/>
        </w:r>
      </w:hyperlink>
    </w:p>
    <w:p w14:paraId="7A80FB54" w14:textId="7C9A000B"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2" w:history="1">
        <w:r w:rsidRPr="0057085F">
          <w:rPr>
            <w:rStyle w:val="Lienhypertexte"/>
            <w:rFonts w:ascii="Century Gothic" w:eastAsia="Century Gothic" w:hAnsi="Century Gothic" w:cs="Century Gothic"/>
            <w:noProof/>
            <w:lang w:val="fr-FR"/>
          </w:rPr>
          <w:t>1.4 - Décomposition de la consultation</w:t>
        </w:r>
        <w:r>
          <w:rPr>
            <w:noProof/>
          </w:rPr>
          <w:tab/>
        </w:r>
        <w:r>
          <w:rPr>
            <w:noProof/>
          </w:rPr>
          <w:fldChar w:fldCharType="begin"/>
        </w:r>
        <w:r>
          <w:rPr>
            <w:noProof/>
          </w:rPr>
          <w:instrText xml:space="preserve"> PAGEREF _Toc241676012 \h </w:instrText>
        </w:r>
        <w:r>
          <w:rPr>
            <w:noProof/>
          </w:rPr>
        </w:r>
        <w:r>
          <w:rPr>
            <w:noProof/>
          </w:rPr>
          <w:fldChar w:fldCharType="separate"/>
        </w:r>
        <w:r>
          <w:rPr>
            <w:noProof/>
          </w:rPr>
          <w:t>4</w:t>
        </w:r>
        <w:r>
          <w:rPr>
            <w:noProof/>
          </w:rPr>
          <w:fldChar w:fldCharType="end"/>
        </w:r>
      </w:hyperlink>
    </w:p>
    <w:p w14:paraId="4136CBF0" w14:textId="23FD3861"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3" w:history="1">
        <w:r w:rsidRPr="0057085F">
          <w:rPr>
            <w:rStyle w:val="Lienhypertexte"/>
            <w:rFonts w:ascii="Century Gothic" w:eastAsia="Century Gothic" w:hAnsi="Century Gothic" w:cs="Century Gothic"/>
            <w:noProof/>
            <w:lang w:val="fr-FR"/>
          </w:rPr>
          <w:t>1.5 - Etendue des prestations</w:t>
        </w:r>
        <w:r>
          <w:rPr>
            <w:noProof/>
          </w:rPr>
          <w:tab/>
        </w:r>
        <w:r>
          <w:rPr>
            <w:noProof/>
          </w:rPr>
          <w:fldChar w:fldCharType="begin"/>
        </w:r>
        <w:r>
          <w:rPr>
            <w:noProof/>
          </w:rPr>
          <w:instrText xml:space="preserve"> PAGEREF _Toc241676013 \h </w:instrText>
        </w:r>
        <w:r>
          <w:rPr>
            <w:noProof/>
          </w:rPr>
        </w:r>
        <w:r>
          <w:rPr>
            <w:noProof/>
          </w:rPr>
          <w:fldChar w:fldCharType="separate"/>
        </w:r>
        <w:r>
          <w:rPr>
            <w:noProof/>
          </w:rPr>
          <w:t>4</w:t>
        </w:r>
        <w:r>
          <w:rPr>
            <w:noProof/>
          </w:rPr>
          <w:fldChar w:fldCharType="end"/>
        </w:r>
      </w:hyperlink>
    </w:p>
    <w:p w14:paraId="6E3A8AEE" w14:textId="7CC48F23"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4" w:history="1">
        <w:r w:rsidRPr="0057085F">
          <w:rPr>
            <w:rStyle w:val="Lienhypertexte"/>
            <w:rFonts w:ascii="Century Gothic" w:eastAsia="Century Gothic" w:hAnsi="Century Gothic" w:cs="Century Gothic"/>
            <w:noProof/>
            <w:lang w:val="fr-FR"/>
          </w:rPr>
          <w:t>1.6 - Nomenclature</w:t>
        </w:r>
        <w:r>
          <w:rPr>
            <w:noProof/>
          </w:rPr>
          <w:tab/>
        </w:r>
        <w:r>
          <w:rPr>
            <w:noProof/>
          </w:rPr>
          <w:fldChar w:fldCharType="begin"/>
        </w:r>
        <w:r>
          <w:rPr>
            <w:noProof/>
          </w:rPr>
          <w:instrText xml:space="preserve"> PAGEREF _Toc241676014 \h </w:instrText>
        </w:r>
        <w:r>
          <w:rPr>
            <w:noProof/>
          </w:rPr>
        </w:r>
        <w:r>
          <w:rPr>
            <w:noProof/>
          </w:rPr>
          <w:fldChar w:fldCharType="separate"/>
        </w:r>
        <w:r>
          <w:rPr>
            <w:noProof/>
          </w:rPr>
          <w:t>5</w:t>
        </w:r>
        <w:r>
          <w:rPr>
            <w:noProof/>
          </w:rPr>
          <w:fldChar w:fldCharType="end"/>
        </w:r>
      </w:hyperlink>
    </w:p>
    <w:p w14:paraId="56F0B702" w14:textId="6C0E28FB"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15" w:history="1">
        <w:r w:rsidRPr="0057085F">
          <w:rPr>
            <w:rStyle w:val="Lienhypertexte"/>
            <w:rFonts w:ascii="Century Gothic" w:eastAsia="Century Gothic" w:hAnsi="Century Gothic" w:cs="Century Gothic"/>
            <w:noProof/>
            <w:lang w:val="fr-FR"/>
          </w:rPr>
          <w:t>2 - Conditions de la consultation</w:t>
        </w:r>
        <w:r>
          <w:rPr>
            <w:noProof/>
          </w:rPr>
          <w:tab/>
        </w:r>
        <w:r>
          <w:rPr>
            <w:noProof/>
          </w:rPr>
          <w:fldChar w:fldCharType="begin"/>
        </w:r>
        <w:r>
          <w:rPr>
            <w:noProof/>
          </w:rPr>
          <w:instrText xml:space="preserve"> PAGEREF _Toc241676015 \h </w:instrText>
        </w:r>
        <w:r>
          <w:rPr>
            <w:noProof/>
          </w:rPr>
        </w:r>
        <w:r>
          <w:rPr>
            <w:noProof/>
          </w:rPr>
          <w:fldChar w:fldCharType="separate"/>
        </w:r>
        <w:r>
          <w:rPr>
            <w:noProof/>
          </w:rPr>
          <w:t>5</w:t>
        </w:r>
        <w:r>
          <w:rPr>
            <w:noProof/>
          </w:rPr>
          <w:fldChar w:fldCharType="end"/>
        </w:r>
      </w:hyperlink>
    </w:p>
    <w:p w14:paraId="6BA9ACF4" w14:textId="1D7E71D2"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6" w:history="1">
        <w:r w:rsidRPr="0057085F">
          <w:rPr>
            <w:rStyle w:val="Lienhypertexte"/>
            <w:rFonts w:ascii="Century Gothic" w:eastAsia="Century Gothic" w:hAnsi="Century Gothic" w:cs="Century Gothic"/>
            <w:noProof/>
            <w:lang w:val="fr-FR"/>
          </w:rPr>
          <w:t>2.1 - Délai de validité des offres</w:t>
        </w:r>
        <w:r>
          <w:rPr>
            <w:noProof/>
          </w:rPr>
          <w:tab/>
        </w:r>
        <w:r>
          <w:rPr>
            <w:noProof/>
          </w:rPr>
          <w:fldChar w:fldCharType="begin"/>
        </w:r>
        <w:r>
          <w:rPr>
            <w:noProof/>
          </w:rPr>
          <w:instrText xml:space="preserve"> PAGEREF _Toc241676016 \h </w:instrText>
        </w:r>
        <w:r>
          <w:rPr>
            <w:noProof/>
          </w:rPr>
        </w:r>
        <w:r>
          <w:rPr>
            <w:noProof/>
          </w:rPr>
          <w:fldChar w:fldCharType="separate"/>
        </w:r>
        <w:r>
          <w:rPr>
            <w:noProof/>
          </w:rPr>
          <w:t>5</w:t>
        </w:r>
        <w:r>
          <w:rPr>
            <w:noProof/>
          </w:rPr>
          <w:fldChar w:fldCharType="end"/>
        </w:r>
      </w:hyperlink>
    </w:p>
    <w:p w14:paraId="675CF5B0" w14:textId="5D78D8C4"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7" w:history="1">
        <w:r w:rsidRPr="0057085F">
          <w:rPr>
            <w:rStyle w:val="Lienhypertexte"/>
            <w:rFonts w:ascii="Century Gothic" w:eastAsia="Century Gothic" w:hAnsi="Century Gothic" w:cs="Century Gothic"/>
            <w:noProof/>
            <w:lang w:val="fr-FR"/>
          </w:rPr>
          <w:t>2.2 - Forme juridique du groupement</w:t>
        </w:r>
        <w:r>
          <w:rPr>
            <w:noProof/>
          </w:rPr>
          <w:tab/>
        </w:r>
        <w:r>
          <w:rPr>
            <w:noProof/>
          </w:rPr>
          <w:fldChar w:fldCharType="begin"/>
        </w:r>
        <w:r>
          <w:rPr>
            <w:noProof/>
          </w:rPr>
          <w:instrText xml:space="preserve"> PAGEREF _Toc241676017 \h </w:instrText>
        </w:r>
        <w:r>
          <w:rPr>
            <w:noProof/>
          </w:rPr>
        </w:r>
        <w:r>
          <w:rPr>
            <w:noProof/>
          </w:rPr>
          <w:fldChar w:fldCharType="separate"/>
        </w:r>
        <w:r>
          <w:rPr>
            <w:noProof/>
          </w:rPr>
          <w:t>5</w:t>
        </w:r>
        <w:r>
          <w:rPr>
            <w:noProof/>
          </w:rPr>
          <w:fldChar w:fldCharType="end"/>
        </w:r>
      </w:hyperlink>
    </w:p>
    <w:p w14:paraId="744A5440" w14:textId="015D02DD"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8" w:history="1">
        <w:r w:rsidRPr="0057085F">
          <w:rPr>
            <w:rStyle w:val="Lienhypertexte"/>
            <w:rFonts w:ascii="Century Gothic" w:eastAsia="Century Gothic" w:hAnsi="Century Gothic" w:cs="Century Gothic"/>
            <w:noProof/>
            <w:lang w:val="fr-FR"/>
          </w:rPr>
          <w:t>2.3 - Variantes</w:t>
        </w:r>
        <w:r>
          <w:rPr>
            <w:noProof/>
          </w:rPr>
          <w:tab/>
        </w:r>
        <w:r>
          <w:rPr>
            <w:noProof/>
          </w:rPr>
          <w:fldChar w:fldCharType="begin"/>
        </w:r>
        <w:r>
          <w:rPr>
            <w:noProof/>
          </w:rPr>
          <w:instrText xml:space="preserve"> PAGEREF _Toc241676018 \h </w:instrText>
        </w:r>
        <w:r>
          <w:rPr>
            <w:noProof/>
          </w:rPr>
        </w:r>
        <w:r>
          <w:rPr>
            <w:noProof/>
          </w:rPr>
          <w:fldChar w:fldCharType="separate"/>
        </w:r>
        <w:r>
          <w:rPr>
            <w:noProof/>
          </w:rPr>
          <w:t>6</w:t>
        </w:r>
        <w:r>
          <w:rPr>
            <w:noProof/>
          </w:rPr>
          <w:fldChar w:fldCharType="end"/>
        </w:r>
      </w:hyperlink>
    </w:p>
    <w:p w14:paraId="628F09FE" w14:textId="7F5EBA06"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19" w:history="1">
        <w:r w:rsidRPr="0057085F">
          <w:rPr>
            <w:rStyle w:val="Lienhypertexte"/>
            <w:rFonts w:ascii="Century Gothic" w:eastAsia="Century Gothic" w:hAnsi="Century Gothic" w:cs="Century Gothic"/>
            <w:noProof/>
            <w:lang w:val="fr-FR"/>
          </w:rPr>
          <w:t>2.4 - Prestations supplémentaires éventuelles</w:t>
        </w:r>
        <w:r>
          <w:rPr>
            <w:noProof/>
          </w:rPr>
          <w:tab/>
        </w:r>
        <w:r>
          <w:rPr>
            <w:noProof/>
          </w:rPr>
          <w:fldChar w:fldCharType="begin"/>
        </w:r>
        <w:r>
          <w:rPr>
            <w:noProof/>
          </w:rPr>
          <w:instrText xml:space="preserve"> PAGEREF _Toc241676019 \h </w:instrText>
        </w:r>
        <w:r>
          <w:rPr>
            <w:noProof/>
          </w:rPr>
        </w:r>
        <w:r>
          <w:rPr>
            <w:noProof/>
          </w:rPr>
          <w:fldChar w:fldCharType="separate"/>
        </w:r>
        <w:r>
          <w:rPr>
            <w:noProof/>
          </w:rPr>
          <w:t>6</w:t>
        </w:r>
        <w:r>
          <w:rPr>
            <w:noProof/>
          </w:rPr>
          <w:fldChar w:fldCharType="end"/>
        </w:r>
      </w:hyperlink>
    </w:p>
    <w:p w14:paraId="247F4119" w14:textId="3590DE44"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0" w:history="1">
        <w:r w:rsidRPr="0057085F">
          <w:rPr>
            <w:rStyle w:val="Lienhypertexte"/>
            <w:rFonts w:ascii="Century Gothic" w:eastAsia="Century Gothic" w:hAnsi="Century Gothic" w:cs="Century Gothic"/>
            <w:noProof/>
            <w:lang w:val="fr-FR"/>
          </w:rPr>
          <w:t>2.5 - Développement durable</w:t>
        </w:r>
        <w:r>
          <w:rPr>
            <w:noProof/>
          </w:rPr>
          <w:tab/>
        </w:r>
        <w:r>
          <w:rPr>
            <w:noProof/>
          </w:rPr>
          <w:fldChar w:fldCharType="begin"/>
        </w:r>
        <w:r>
          <w:rPr>
            <w:noProof/>
          </w:rPr>
          <w:instrText xml:space="preserve"> PAGEREF _Toc241676020 \h </w:instrText>
        </w:r>
        <w:r>
          <w:rPr>
            <w:noProof/>
          </w:rPr>
        </w:r>
        <w:r>
          <w:rPr>
            <w:noProof/>
          </w:rPr>
          <w:fldChar w:fldCharType="separate"/>
        </w:r>
        <w:r>
          <w:rPr>
            <w:noProof/>
          </w:rPr>
          <w:t>6</w:t>
        </w:r>
        <w:r>
          <w:rPr>
            <w:noProof/>
          </w:rPr>
          <w:fldChar w:fldCharType="end"/>
        </w:r>
      </w:hyperlink>
    </w:p>
    <w:p w14:paraId="40F11E2B" w14:textId="7E568791"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21" w:history="1">
        <w:r w:rsidRPr="0057085F">
          <w:rPr>
            <w:rStyle w:val="Lienhypertexte"/>
            <w:rFonts w:ascii="Century Gothic" w:eastAsia="Century Gothic" w:hAnsi="Century Gothic" w:cs="Century Gothic"/>
            <w:noProof/>
            <w:lang w:val="fr-FR"/>
          </w:rPr>
          <w:t>3 - Conditions relatives au contrat</w:t>
        </w:r>
        <w:r>
          <w:rPr>
            <w:noProof/>
          </w:rPr>
          <w:tab/>
        </w:r>
        <w:r>
          <w:rPr>
            <w:noProof/>
          </w:rPr>
          <w:fldChar w:fldCharType="begin"/>
        </w:r>
        <w:r>
          <w:rPr>
            <w:noProof/>
          </w:rPr>
          <w:instrText xml:space="preserve"> PAGEREF _Toc241676021 \h </w:instrText>
        </w:r>
        <w:r>
          <w:rPr>
            <w:noProof/>
          </w:rPr>
        </w:r>
        <w:r>
          <w:rPr>
            <w:noProof/>
          </w:rPr>
          <w:fldChar w:fldCharType="separate"/>
        </w:r>
        <w:r>
          <w:rPr>
            <w:noProof/>
          </w:rPr>
          <w:t>6</w:t>
        </w:r>
        <w:r>
          <w:rPr>
            <w:noProof/>
          </w:rPr>
          <w:fldChar w:fldCharType="end"/>
        </w:r>
      </w:hyperlink>
    </w:p>
    <w:p w14:paraId="7D1F3966" w14:textId="6B2598EE"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2" w:history="1">
        <w:r w:rsidRPr="0057085F">
          <w:rPr>
            <w:rStyle w:val="Lienhypertexte"/>
            <w:rFonts w:ascii="Century Gothic" w:eastAsia="Century Gothic" w:hAnsi="Century Gothic" w:cs="Century Gothic"/>
            <w:noProof/>
            <w:lang w:val="fr-FR"/>
          </w:rPr>
          <w:t>3.1 - Durée du contrat ou délai d'exécution</w:t>
        </w:r>
        <w:r>
          <w:rPr>
            <w:noProof/>
          </w:rPr>
          <w:tab/>
        </w:r>
        <w:r>
          <w:rPr>
            <w:noProof/>
          </w:rPr>
          <w:fldChar w:fldCharType="begin"/>
        </w:r>
        <w:r>
          <w:rPr>
            <w:noProof/>
          </w:rPr>
          <w:instrText xml:space="preserve"> PAGEREF _Toc241676022 \h </w:instrText>
        </w:r>
        <w:r>
          <w:rPr>
            <w:noProof/>
          </w:rPr>
        </w:r>
        <w:r>
          <w:rPr>
            <w:noProof/>
          </w:rPr>
          <w:fldChar w:fldCharType="separate"/>
        </w:r>
        <w:r>
          <w:rPr>
            <w:noProof/>
          </w:rPr>
          <w:t>6</w:t>
        </w:r>
        <w:r>
          <w:rPr>
            <w:noProof/>
          </w:rPr>
          <w:fldChar w:fldCharType="end"/>
        </w:r>
      </w:hyperlink>
    </w:p>
    <w:p w14:paraId="31E9FFD5" w14:textId="7E1D0D77"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3" w:history="1">
        <w:r w:rsidRPr="0057085F">
          <w:rPr>
            <w:rStyle w:val="Lienhypertexte"/>
            <w:rFonts w:ascii="Century Gothic" w:eastAsia="Century Gothic" w:hAnsi="Century Gothic" w:cs="Century Gothic"/>
            <w:noProof/>
            <w:lang w:val="fr-FR"/>
          </w:rPr>
          <w:t>3.2 - Modalités essentielles de financement et de paiement</w:t>
        </w:r>
        <w:r>
          <w:rPr>
            <w:noProof/>
          </w:rPr>
          <w:tab/>
        </w:r>
        <w:r>
          <w:rPr>
            <w:noProof/>
          </w:rPr>
          <w:fldChar w:fldCharType="begin"/>
        </w:r>
        <w:r>
          <w:rPr>
            <w:noProof/>
          </w:rPr>
          <w:instrText xml:space="preserve"> PAGEREF _Toc241676023 \h </w:instrText>
        </w:r>
        <w:r>
          <w:rPr>
            <w:noProof/>
          </w:rPr>
        </w:r>
        <w:r>
          <w:rPr>
            <w:noProof/>
          </w:rPr>
          <w:fldChar w:fldCharType="separate"/>
        </w:r>
        <w:r>
          <w:rPr>
            <w:noProof/>
          </w:rPr>
          <w:t>6</w:t>
        </w:r>
        <w:r>
          <w:rPr>
            <w:noProof/>
          </w:rPr>
          <w:fldChar w:fldCharType="end"/>
        </w:r>
      </w:hyperlink>
    </w:p>
    <w:p w14:paraId="790858EE" w14:textId="32CA307C"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24" w:history="1">
        <w:r w:rsidRPr="0057085F">
          <w:rPr>
            <w:rStyle w:val="Lienhypertexte"/>
            <w:rFonts w:ascii="Century Gothic" w:eastAsia="Century Gothic" w:hAnsi="Century Gothic" w:cs="Century Gothic"/>
            <w:noProof/>
            <w:lang w:val="fr-FR"/>
          </w:rPr>
          <w:t>4 - Contenu du dossier de consultation</w:t>
        </w:r>
        <w:r>
          <w:rPr>
            <w:noProof/>
          </w:rPr>
          <w:tab/>
        </w:r>
        <w:r>
          <w:rPr>
            <w:noProof/>
          </w:rPr>
          <w:fldChar w:fldCharType="begin"/>
        </w:r>
        <w:r>
          <w:rPr>
            <w:noProof/>
          </w:rPr>
          <w:instrText xml:space="preserve"> PAGEREF _Toc241676024 \h </w:instrText>
        </w:r>
        <w:r>
          <w:rPr>
            <w:noProof/>
          </w:rPr>
        </w:r>
        <w:r>
          <w:rPr>
            <w:noProof/>
          </w:rPr>
          <w:fldChar w:fldCharType="separate"/>
        </w:r>
        <w:r>
          <w:rPr>
            <w:noProof/>
          </w:rPr>
          <w:t>7</w:t>
        </w:r>
        <w:r>
          <w:rPr>
            <w:noProof/>
          </w:rPr>
          <w:fldChar w:fldCharType="end"/>
        </w:r>
      </w:hyperlink>
    </w:p>
    <w:p w14:paraId="50489866" w14:textId="13E7359E"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25" w:history="1">
        <w:r w:rsidRPr="0057085F">
          <w:rPr>
            <w:rStyle w:val="Lienhypertexte"/>
            <w:rFonts w:ascii="Century Gothic" w:eastAsia="Century Gothic" w:hAnsi="Century Gothic" w:cs="Century Gothic"/>
            <w:noProof/>
            <w:lang w:val="fr-FR"/>
          </w:rPr>
          <w:t>5 - Présentation des candidatures et des offres</w:t>
        </w:r>
        <w:r>
          <w:rPr>
            <w:noProof/>
          </w:rPr>
          <w:tab/>
        </w:r>
        <w:r>
          <w:rPr>
            <w:noProof/>
          </w:rPr>
          <w:fldChar w:fldCharType="begin"/>
        </w:r>
        <w:r>
          <w:rPr>
            <w:noProof/>
          </w:rPr>
          <w:instrText xml:space="preserve"> PAGEREF _Toc241676025 \h </w:instrText>
        </w:r>
        <w:r>
          <w:rPr>
            <w:noProof/>
          </w:rPr>
        </w:r>
        <w:r>
          <w:rPr>
            <w:noProof/>
          </w:rPr>
          <w:fldChar w:fldCharType="separate"/>
        </w:r>
        <w:r>
          <w:rPr>
            <w:noProof/>
          </w:rPr>
          <w:t>7</w:t>
        </w:r>
        <w:r>
          <w:rPr>
            <w:noProof/>
          </w:rPr>
          <w:fldChar w:fldCharType="end"/>
        </w:r>
      </w:hyperlink>
    </w:p>
    <w:p w14:paraId="0C0B574D" w14:textId="3C2C3617"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6" w:history="1">
        <w:r w:rsidRPr="0057085F">
          <w:rPr>
            <w:rStyle w:val="Lienhypertexte"/>
            <w:rFonts w:ascii="Century Gothic" w:eastAsia="Century Gothic" w:hAnsi="Century Gothic" w:cs="Century Gothic"/>
            <w:noProof/>
            <w:lang w:val="fr-FR"/>
          </w:rPr>
          <w:t>5.1 - Documents à produire</w:t>
        </w:r>
        <w:r>
          <w:rPr>
            <w:noProof/>
          </w:rPr>
          <w:tab/>
        </w:r>
        <w:r>
          <w:rPr>
            <w:noProof/>
          </w:rPr>
          <w:fldChar w:fldCharType="begin"/>
        </w:r>
        <w:r>
          <w:rPr>
            <w:noProof/>
          </w:rPr>
          <w:instrText xml:space="preserve"> PAGEREF _Toc241676026 \h </w:instrText>
        </w:r>
        <w:r>
          <w:rPr>
            <w:noProof/>
          </w:rPr>
        </w:r>
        <w:r>
          <w:rPr>
            <w:noProof/>
          </w:rPr>
          <w:fldChar w:fldCharType="separate"/>
        </w:r>
        <w:r>
          <w:rPr>
            <w:noProof/>
          </w:rPr>
          <w:t>7</w:t>
        </w:r>
        <w:r>
          <w:rPr>
            <w:noProof/>
          </w:rPr>
          <w:fldChar w:fldCharType="end"/>
        </w:r>
      </w:hyperlink>
    </w:p>
    <w:p w14:paraId="2A20DB13" w14:textId="063B8498"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27" w:history="1">
        <w:r w:rsidRPr="0057085F">
          <w:rPr>
            <w:rStyle w:val="Lienhypertexte"/>
            <w:rFonts w:ascii="Century Gothic" w:eastAsia="Century Gothic" w:hAnsi="Century Gothic" w:cs="Century Gothic"/>
            <w:noProof/>
            <w:lang w:val="fr-FR"/>
          </w:rPr>
          <w:t>6 - Conditions d'envoi ou de remise des plis</w:t>
        </w:r>
        <w:r>
          <w:rPr>
            <w:noProof/>
          </w:rPr>
          <w:tab/>
        </w:r>
        <w:r>
          <w:rPr>
            <w:noProof/>
          </w:rPr>
          <w:fldChar w:fldCharType="begin"/>
        </w:r>
        <w:r>
          <w:rPr>
            <w:noProof/>
          </w:rPr>
          <w:instrText xml:space="preserve"> PAGEREF _Toc241676027 \h </w:instrText>
        </w:r>
        <w:r>
          <w:rPr>
            <w:noProof/>
          </w:rPr>
        </w:r>
        <w:r>
          <w:rPr>
            <w:noProof/>
          </w:rPr>
          <w:fldChar w:fldCharType="separate"/>
        </w:r>
        <w:r>
          <w:rPr>
            <w:noProof/>
          </w:rPr>
          <w:t>9</w:t>
        </w:r>
        <w:r>
          <w:rPr>
            <w:noProof/>
          </w:rPr>
          <w:fldChar w:fldCharType="end"/>
        </w:r>
      </w:hyperlink>
    </w:p>
    <w:p w14:paraId="498120EC" w14:textId="09D4712E"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8" w:history="1">
        <w:r w:rsidRPr="0057085F">
          <w:rPr>
            <w:rStyle w:val="Lienhypertexte"/>
            <w:rFonts w:ascii="Century Gothic" w:eastAsia="Century Gothic" w:hAnsi="Century Gothic" w:cs="Century Gothic"/>
            <w:noProof/>
            <w:lang w:val="fr-FR"/>
          </w:rPr>
          <w:t>6.1 - Transmission électronique</w:t>
        </w:r>
        <w:r>
          <w:rPr>
            <w:noProof/>
          </w:rPr>
          <w:tab/>
        </w:r>
        <w:r>
          <w:rPr>
            <w:noProof/>
          </w:rPr>
          <w:fldChar w:fldCharType="begin"/>
        </w:r>
        <w:r>
          <w:rPr>
            <w:noProof/>
          </w:rPr>
          <w:instrText xml:space="preserve"> PAGEREF _Toc241676028 \h </w:instrText>
        </w:r>
        <w:r>
          <w:rPr>
            <w:noProof/>
          </w:rPr>
        </w:r>
        <w:r>
          <w:rPr>
            <w:noProof/>
          </w:rPr>
          <w:fldChar w:fldCharType="separate"/>
        </w:r>
        <w:r>
          <w:rPr>
            <w:noProof/>
          </w:rPr>
          <w:t>9</w:t>
        </w:r>
        <w:r>
          <w:rPr>
            <w:noProof/>
          </w:rPr>
          <w:fldChar w:fldCharType="end"/>
        </w:r>
      </w:hyperlink>
    </w:p>
    <w:p w14:paraId="79D8E056" w14:textId="37A897DC"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29" w:history="1">
        <w:r w:rsidRPr="0057085F">
          <w:rPr>
            <w:rStyle w:val="Lienhypertexte"/>
            <w:rFonts w:ascii="Century Gothic" w:eastAsia="Century Gothic" w:hAnsi="Century Gothic" w:cs="Century Gothic"/>
            <w:noProof/>
            <w:lang w:val="fr-FR"/>
          </w:rPr>
          <w:t>6.2 - Transmission sous support papier</w:t>
        </w:r>
        <w:r>
          <w:rPr>
            <w:noProof/>
          </w:rPr>
          <w:tab/>
        </w:r>
        <w:r>
          <w:rPr>
            <w:noProof/>
          </w:rPr>
          <w:fldChar w:fldCharType="begin"/>
        </w:r>
        <w:r>
          <w:rPr>
            <w:noProof/>
          </w:rPr>
          <w:instrText xml:space="preserve"> PAGEREF _Toc241676029 \h </w:instrText>
        </w:r>
        <w:r>
          <w:rPr>
            <w:noProof/>
          </w:rPr>
        </w:r>
        <w:r>
          <w:rPr>
            <w:noProof/>
          </w:rPr>
          <w:fldChar w:fldCharType="separate"/>
        </w:r>
        <w:r>
          <w:rPr>
            <w:noProof/>
          </w:rPr>
          <w:t>11</w:t>
        </w:r>
        <w:r>
          <w:rPr>
            <w:noProof/>
          </w:rPr>
          <w:fldChar w:fldCharType="end"/>
        </w:r>
      </w:hyperlink>
    </w:p>
    <w:p w14:paraId="102344F2" w14:textId="1C46DFA9"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30" w:history="1">
        <w:r w:rsidRPr="0057085F">
          <w:rPr>
            <w:rStyle w:val="Lienhypertexte"/>
            <w:rFonts w:ascii="Century Gothic" w:eastAsia="Century Gothic" w:hAnsi="Century Gothic" w:cs="Century Gothic"/>
            <w:noProof/>
            <w:lang w:val="fr-FR"/>
          </w:rPr>
          <w:t>7 - Examen des candidatures et des offres</w:t>
        </w:r>
        <w:r>
          <w:rPr>
            <w:noProof/>
          </w:rPr>
          <w:tab/>
        </w:r>
        <w:r>
          <w:rPr>
            <w:noProof/>
          </w:rPr>
          <w:fldChar w:fldCharType="begin"/>
        </w:r>
        <w:r>
          <w:rPr>
            <w:noProof/>
          </w:rPr>
          <w:instrText xml:space="preserve"> PAGEREF _Toc241676030 \h </w:instrText>
        </w:r>
        <w:r>
          <w:rPr>
            <w:noProof/>
          </w:rPr>
        </w:r>
        <w:r>
          <w:rPr>
            <w:noProof/>
          </w:rPr>
          <w:fldChar w:fldCharType="separate"/>
        </w:r>
        <w:r>
          <w:rPr>
            <w:noProof/>
          </w:rPr>
          <w:t>11</w:t>
        </w:r>
        <w:r>
          <w:rPr>
            <w:noProof/>
          </w:rPr>
          <w:fldChar w:fldCharType="end"/>
        </w:r>
      </w:hyperlink>
    </w:p>
    <w:p w14:paraId="3418BB93" w14:textId="05DC8E29"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31" w:history="1">
        <w:r w:rsidRPr="0057085F">
          <w:rPr>
            <w:rStyle w:val="Lienhypertexte"/>
            <w:rFonts w:ascii="Century Gothic" w:eastAsia="Century Gothic" w:hAnsi="Century Gothic" w:cs="Century Gothic"/>
            <w:noProof/>
            <w:lang w:val="fr-FR"/>
          </w:rPr>
          <w:t>7.1 - Sélection des candidatures</w:t>
        </w:r>
        <w:r>
          <w:rPr>
            <w:noProof/>
          </w:rPr>
          <w:tab/>
        </w:r>
        <w:r>
          <w:rPr>
            <w:noProof/>
          </w:rPr>
          <w:fldChar w:fldCharType="begin"/>
        </w:r>
        <w:r>
          <w:rPr>
            <w:noProof/>
          </w:rPr>
          <w:instrText xml:space="preserve"> PAGEREF _Toc241676031 \h </w:instrText>
        </w:r>
        <w:r>
          <w:rPr>
            <w:noProof/>
          </w:rPr>
        </w:r>
        <w:r>
          <w:rPr>
            <w:noProof/>
          </w:rPr>
          <w:fldChar w:fldCharType="separate"/>
        </w:r>
        <w:r>
          <w:rPr>
            <w:noProof/>
          </w:rPr>
          <w:t>11</w:t>
        </w:r>
        <w:r>
          <w:rPr>
            <w:noProof/>
          </w:rPr>
          <w:fldChar w:fldCharType="end"/>
        </w:r>
      </w:hyperlink>
    </w:p>
    <w:p w14:paraId="33E0D111" w14:textId="1CAEF393"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32" w:history="1">
        <w:r w:rsidRPr="0057085F">
          <w:rPr>
            <w:rStyle w:val="Lienhypertexte"/>
            <w:rFonts w:ascii="Century Gothic" w:eastAsia="Century Gothic" w:hAnsi="Century Gothic" w:cs="Century Gothic"/>
            <w:noProof/>
            <w:lang w:val="fr-FR"/>
          </w:rPr>
          <w:t>7.2 - Attribution des accords-cadres</w:t>
        </w:r>
        <w:r>
          <w:rPr>
            <w:noProof/>
          </w:rPr>
          <w:tab/>
        </w:r>
        <w:r>
          <w:rPr>
            <w:noProof/>
          </w:rPr>
          <w:fldChar w:fldCharType="begin"/>
        </w:r>
        <w:r>
          <w:rPr>
            <w:noProof/>
          </w:rPr>
          <w:instrText xml:space="preserve"> PAGEREF _Toc241676032 \h </w:instrText>
        </w:r>
        <w:r>
          <w:rPr>
            <w:noProof/>
          </w:rPr>
        </w:r>
        <w:r>
          <w:rPr>
            <w:noProof/>
          </w:rPr>
          <w:fldChar w:fldCharType="separate"/>
        </w:r>
        <w:r>
          <w:rPr>
            <w:noProof/>
          </w:rPr>
          <w:t>11</w:t>
        </w:r>
        <w:r>
          <w:rPr>
            <w:noProof/>
          </w:rPr>
          <w:fldChar w:fldCharType="end"/>
        </w:r>
      </w:hyperlink>
    </w:p>
    <w:p w14:paraId="52C14AC6" w14:textId="1E9E3333"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33" w:history="1">
        <w:r w:rsidRPr="0057085F">
          <w:rPr>
            <w:rStyle w:val="Lienhypertexte"/>
            <w:rFonts w:ascii="Century Gothic" w:eastAsia="Century Gothic" w:hAnsi="Century Gothic" w:cs="Century Gothic"/>
            <w:noProof/>
            <w:lang w:val="fr-FR"/>
          </w:rPr>
          <w:t>7.3 - Suite à donner à la consultation</w:t>
        </w:r>
        <w:r>
          <w:rPr>
            <w:noProof/>
          </w:rPr>
          <w:tab/>
        </w:r>
        <w:r>
          <w:rPr>
            <w:noProof/>
          </w:rPr>
          <w:fldChar w:fldCharType="begin"/>
        </w:r>
        <w:r>
          <w:rPr>
            <w:noProof/>
          </w:rPr>
          <w:instrText xml:space="preserve"> PAGEREF _Toc241676033 \h </w:instrText>
        </w:r>
        <w:r>
          <w:rPr>
            <w:noProof/>
          </w:rPr>
        </w:r>
        <w:r>
          <w:rPr>
            <w:noProof/>
          </w:rPr>
          <w:fldChar w:fldCharType="separate"/>
        </w:r>
        <w:r>
          <w:rPr>
            <w:noProof/>
          </w:rPr>
          <w:t>13</w:t>
        </w:r>
        <w:r>
          <w:rPr>
            <w:noProof/>
          </w:rPr>
          <w:fldChar w:fldCharType="end"/>
        </w:r>
      </w:hyperlink>
    </w:p>
    <w:p w14:paraId="5C5E6059" w14:textId="5BF8DD08" w:rsidR="008051ED" w:rsidRDefault="008051E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676034" w:history="1">
        <w:r w:rsidRPr="0057085F">
          <w:rPr>
            <w:rStyle w:val="Lienhypertexte"/>
            <w:rFonts w:ascii="Century Gothic" w:eastAsia="Century Gothic" w:hAnsi="Century Gothic" w:cs="Century Gothic"/>
            <w:noProof/>
            <w:lang w:val="fr-FR"/>
          </w:rPr>
          <w:t>8 - Renseignements complémentaires</w:t>
        </w:r>
        <w:r>
          <w:rPr>
            <w:noProof/>
          </w:rPr>
          <w:tab/>
        </w:r>
        <w:r>
          <w:rPr>
            <w:noProof/>
          </w:rPr>
          <w:fldChar w:fldCharType="begin"/>
        </w:r>
        <w:r>
          <w:rPr>
            <w:noProof/>
          </w:rPr>
          <w:instrText xml:space="preserve"> PAGEREF _Toc241676034 \h </w:instrText>
        </w:r>
        <w:r>
          <w:rPr>
            <w:noProof/>
          </w:rPr>
        </w:r>
        <w:r>
          <w:rPr>
            <w:noProof/>
          </w:rPr>
          <w:fldChar w:fldCharType="separate"/>
        </w:r>
        <w:r>
          <w:rPr>
            <w:noProof/>
          </w:rPr>
          <w:t>13</w:t>
        </w:r>
        <w:r>
          <w:rPr>
            <w:noProof/>
          </w:rPr>
          <w:fldChar w:fldCharType="end"/>
        </w:r>
      </w:hyperlink>
    </w:p>
    <w:p w14:paraId="2BA32F0B" w14:textId="59FC0DA9"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35" w:history="1">
        <w:r w:rsidRPr="0057085F">
          <w:rPr>
            <w:rStyle w:val="Lienhypertexte"/>
            <w:rFonts w:ascii="Century Gothic" w:eastAsia="Century Gothic" w:hAnsi="Century Gothic" w:cs="Century Gothic"/>
            <w:noProof/>
            <w:lang w:val="fr-FR"/>
          </w:rPr>
          <w:t>8.1 - Adresses supplémentaires et points de contact</w:t>
        </w:r>
        <w:r>
          <w:rPr>
            <w:noProof/>
          </w:rPr>
          <w:tab/>
        </w:r>
        <w:r>
          <w:rPr>
            <w:noProof/>
          </w:rPr>
          <w:fldChar w:fldCharType="begin"/>
        </w:r>
        <w:r>
          <w:rPr>
            <w:noProof/>
          </w:rPr>
          <w:instrText xml:space="preserve"> PAGEREF _Toc241676035 \h </w:instrText>
        </w:r>
        <w:r>
          <w:rPr>
            <w:noProof/>
          </w:rPr>
        </w:r>
        <w:r>
          <w:rPr>
            <w:noProof/>
          </w:rPr>
          <w:fldChar w:fldCharType="separate"/>
        </w:r>
        <w:r>
          <w:rPr>
            <w:noProof/>
          </w:rPr>
          <w:t>13</w:t>
        </w:r>
        <w:r>
          <w:rPr>
            <w:noProof/>
          </w:rPr>
          <w:fldChar w:fldCharType="end"/>
        </w:r>
      </w:hyperlink>
    </w:p>
    <w:p w14:paraId="2E508460" w14:textId="140FC73A" w:rsidR="008051ED" w:rsidRDefault="008051E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676036" w:history="1">
        <w:r w:rsidRPr="0057085F">
          <w:rPr>
            <w:rStyle w:val="Lienhypertexte"/>
            <w:rFonts w:ascii="Century Gothic" w:eastAsia="Century Gothic" w:hAnsi="Century Gothic" w:cs="Century Gothic"/>
            <w:noProof/>
            <w:lang w:val="fr-FR"/>
          </w:rPr>
          <w:t>8.2 - Procédures de recours</w:t>
        </w:r>
        <w:r>
          <w:rPr>
            <w:noProof/>
          </w:rPr>
          <w:tab/>
        </w:r>
        <w:r>
          <w:rPr>
            <w:noProof/>
          </w:rPr>
          <w:fldChar w:fldCharType="begin"/>
        </w:r>
        <w:r>
          <w:rPr>
            <w:noProof/>
          </w:rPr>
          <w:instrText xml:space="preserve"> PAGEREF _Toc241676036 \h </w:instrText>
        </w:r>
        <w:r>
          <w:rPr>
            <w:noProof/>
          </w:rPr>
        </w:r>
        <w:r>
          <w:rPr>
            <w:noProof/>
          </w:rPr>
          <w:fldChar w:fldCharType="separate"/>
        </w:r>
        <w:r>
          <w:rPr>
            <w:noProof/>
          </w:rPr>
          <w:t>13</w:t>
        </w:r>
        <w:r>
          <w:rPr>
            <w:noProof/>
          </w:rPr>
          <w:fldChar w:fldCharType="end"/>
        </w:r>
      </w:hyperlink>
    </w:p>
    <w:p w14:paraId="47AF6278" w14:textId="61F3265F" w:rsidR="004D7A50" w:rsidRDefault="00E669DC">
      <w:pPr>
        <w:spacing w:after="80"/>
        <w:jc w:val="both"/>
        <w:rPr>
          <w:rFonts w:ascii="Century Gothic" w:eastAsia="Century Gothic" w:hAnsi="Century Gothic" w:cs="Century Gothic"/>
          <w:color w:val="000000"/>
          <w:sz w:val="22"/>
          <w:lang w:val="fr-FR"/>
        </w:rPr>
        <w:sectPr w:rsidR="004D7A50">
          <w:pgSz w:w="11900" w:h="16840"/>
          <w:pgMar w:top="1140" w:right="1140" w:bottom="1440" w:left="1140" w:header="1140" w:footer="1440" w:gutter="0"/>
          <w:cols w:space="708"/>
        </w:sectPr>
      </w:pPr>
      <w:r>
        <w:rPr>
          <w:rFonts w:ascii="Century Gothic" w:eastAsia="Century Gothic" w:hAnsi="Century Gothic" w:cs="Century Gothic"/>
          <w:color w:val="000000"/>
          <w:sz w:val="22"/>
          <w:lang w:val="fr-FR"/>
        </w:rPr>
        <w:fldChar w:fldCharType="end"/>
      </w:r>
    </w:p>
    <w:p w14:paraId="47AF6279"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0" w:name="ArtL1_RC-2-A2"/>
      <w:bookmarkStart w:id="1" w:name="_Toc241676008"/>
      <w:bookmarkEnd w:id="0"/>
      <w:r>
        <w:rPr>
          <w:rFonts w:ascii="Century Gothic" w:eastAsia="Century Gothic" w:hAnsi="Century Gothic" w:cs="Century Gothic"/>
          <w:color w:val="FFFFFF"/>
          <w:sz w:val="28"/>
          <w:lang w:val="fr-FR"/>
        </w:rPr>
        <w:lastRenderedPageBreak/>
        <w:t>1 - Objet et étendue de la consultation</w:t>
      </w:r>
      <w:bookmarkEnd w:id="1"/>
    </w:p>
    <w:p w14:paraId="47AF627A" w14:textId="77777777" w:rsidR="004D7A50" w:rsidRDefault="00E669DC">
      <w:pPr>
        <w:spacing w:line="60" w:lineRule="exact"/>
        <w:rPr>
          <w:sz w:val="6"/>
        </w:rPr>
      </w:pPr>
      <w:r>
        <w:t xml:space="preserve"> </w:t>
      </w:r>
    </w:p>
    <w:p w14:paraId="47AF627B"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2" w:name="ArtL2_RC-2-A2.1"/>
      <w:bookmarkStart w:id="3" w:name="_Toc241676009"/>
      <w:bookmarkEnd w:id="2"/>
      <w:r>
        <w:rPr>
          <w:rFonts w:ascii="Century Gothic" w:eastAsia="Century Gothic" w:hAnsi="Century Gothic" w:cs="Century Gothic"/>
          <w:i w:val="0"/>
          <w:color w:val="000000"/>
          <w:sz w:val="24"/>
          <w:lang w:val="fr-FR"/>
        </w:rPr>
        <w:t>1.1 - Objet</w:t>
      </w:r>
      <w:bookmarkEnd w:id="3"/>
    </w:p>
    <w:p w14:paraId="47AF627C" w14:textId="77777777" w:rsidR="004D7A50" w:rsidRDefault="00E669DC">
      <w:pPr>
        <w:pStyle w:val="ParagrapheIndent2"/>
        <w:spacing w:line="270" w:lineRule="exact"/>
        <w:jc w:val="both"/>
        <w:rPr>
          <w:color w:val="000000"/>
          <w:lang w:val="fr-FR"/>
        </w:rPr>
      </w:pPr>
      <w:r>
        <w:rPr>
          <w:color w:val="000000"/>
          <w:lang w:val="fr-FR"/>
        </w:rPr>
        <w:t>La présente consultation concerne :</w:t>
      </w:r>
    </w:p>
    <w:p w14:paraId="3A86A581" w14:textId="77777777" w:rsidR="00B96F8F" w:rsidRPr="00B96F8F" w:rsidRDefault="00B96F8F" w:rsidP="00B96F8F">
      <w:pPr>
        <w:rPr>
          <w:lang w:val="fr-FR"/>
        </w:rPr>
      </w:pPr>
    </w:p>
    <w:p w14:paraId="06B24666" w14:textId="6256884F" w:rsidR="005C0D7D" w:rsidRPr="00B96F8F" w:rsidRDefault="00B96F8F" w:rsidP="005C0D7D">
      <w:pPr>
        <w:rPr>
          <w:rFonts w:ascii="Century Gothic" w:hAnsi="Century Gothic"/>
          <w:sz w:val="22"/>
          <w:szCs w:val="22"/>
          <w:lang w:val="fr-FR"/>
        </w:rPr>
      </w:pPr>
      <w:r w:rsidRPr="00B96F8F">
        <w:rPr>
          <w:rFonts w:ascii="Century Gothic" w:hAnsi="Century Gothic"/>
          <w:b/>
          <w:sz w:val="22"/>
          <w:szCs w:val="22"/>
          <w:lang w:val="fr-FR"/>
        </w:rPr>
        <w:t>Accord-cadre à bons de commande relatif à l’acquisition de pneumatiques, accessoires et prestations associées pour le parc auto de la Ville de Perpignan</w:t>
      </w:r>
    </w:p>
    <w:p w14:paraId="01DDBAF1" w14:textId="77777777" w:rsidR="00B96F8F" w:rsidRPr="005C0D7D" w:rsidRDefault="00B96F8F" w:rsidP="005C0D7D">
      <w:pPr>
        <w:rPr>
          <w:lang w:val="fr-FR"/>
        </w:rPr>
      </w:pPr>
    </w:p>
    <w:p w14:paraId="47AF627E" w14:textId="77777777" w:rsidR="004D7A50" w:rsidRDefault="00E669DC">
      <w:pPr>
        <w:pStyle w:val="ParagrapheIndent2"/>
        <w:spacing w:line="270" w:lineRule="exact"/>
        <w:jc w:val="both"/>
        <w:rPr>
          <w:color w:val="000000"/>
          <w:lang w:val="fr-FR"/>
        </w:rPr>
      </w:pPr>
      <w:r>
        <w:rPr>
          <w:color w:val="000000"/>
          <w:lang w:val="fr-FR"/>
        </w:rPr>
        <w:t>Lieu(x) d'exécution :</w:t>
      </w:r>
    </w:p>
    <w:p w14:paraId="47AF627F" w14:textId="77777777" w:rsidR="004D7A50" w:rsidRDefault="00E669DC">
      <w:pPr>
        <w:pStyle w:val="ParagrapheIndent2"/>
        <w:spacing w:line="270" w:lineRule="exact"/>
        <w:jc w:val="both"/>
        <w:rPr>
          <w:color w:val="000000"/>
          <w:lang w:val="fr-FR"/>
        </w:rPr>
      </w:pPr>
      <w:r>
        <w:rPr>
          <w:color w:val="000000"/>
          <w:lang w:val="fr-FR"/>
        </w:rPr>
        <w:t>Ville de Perpignan</w:t>
      </w:r>
    </w:p>
    <w:p w14:paraId="47AF6280" w14:textId="77777777" w:rsidR="004D7A50" w:rsidRDefault="00E669DC">
      <w:pPr>
        <w:pStyle w:val="ParagrapheIndent2"/>
        <w:spacing w:after="240" w:line="270" w:lineRule="exact"/>
        <w:jc w:val="both"/>
        <w:rPr>
          <w:color w:val="000000"/>
          <w:lang w:val="fr-FR"/>
        </w:rPr>
      </w:pPr>
      <w:r>
        <w:rPr>
          <w:color w:val="000000"/>
          <w:lang w:val="fr-FR"/>
        </w:rPr>
        <w:t>66000 Perpignan</w:t>
      </w:r>
    </w:p>
    <w:p w14:paraId="47AF6281"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4" w:name="ArtL2_RC-2-A2.3"/>
      <w:bookmarkStart w:id="5" w:name="_Toc241676010"/>
      <w:bookmarkEnd w:id="4"/>
      <w:r>
        <w:rPr>
          <w:rFonts w:ascii="Century Gothic" w:eastAsia="Century Gothic" w:hAnsi="Century Gothic" w:cs="Century Gothic"/>
          <w:i w:val="0"/>
          <w:color w:val="000000"/>
          <w:sz w:val="24"/>
          <w:lang w:val="fr-FR"/>
        </w:rPr>
        <w:t>1.2 - Mode de passation</w:t>
      </w:r>
      <w:bookmarkEnd w:id="5"/>
    </w:p>
    <w:p w14:paraId="47AF6282" w14:textId="2F8DA813" w:rsidR="004D7A50" w:rsidRDefault="00E669DC">
      <w:pPr>
        <w:pStyle w:val="ParagrapheIndent2"/>
        <w:spacing w:after="240" w:line="270" w:lineRule="exact"/>
        <w:jc w:val="both"/>
        <w:rPr>
          <w:color w:val="000000"/>
          <w:lang w:val="fr-FR"/>
        </w:rPr>
      </w:pPr>
      <w:r>
        <w:rPr>
          <w:color w:val="000000"/>
          <w:lang w:val="fr-FR"/>
        </w:rPr>
        <w:t xml:space="preserve">La procédure de passation utilisée est : l'appel d'offres ouvert. Elle est soumise aux dispositions des articles L. 2124-2, R. 2124-2 1° et R. 2161-2 à R. 2161-5 du Code de la </w:t>
      </w:r>
      <w:r w:rsidR="005C0D7D">
        <w:rPr>
          <w:color w:val="000000"/>
          <w:lang w:val="fr-FR"/>
        </w:rPr>
        <w:t>C</w:t>
      </w:r>
      <w:r>
        <w:rPr>
          <w:color w:val="000000"/>
          <w:lang w:val="fr-FR"/>
        </w:rPr>
        <w:t xml:space="preserve">ommande </w:t>
      </w:r>
      <w:r w:rsidR="005C0D7D">
        <w:rPr>
          <w:color w:val="000000"/>
          <w:lang w:val="fr-FR"/>
        </w:rPr>
        <w:t>P</w:t>
      </w:r>
      <w:r>
        <w:rPr>
          <w:color w:val="000000"/>
          <w:lang w:val="fr-FR"/>
        </w:rPr>
        <w:t>ublique.</w:t>
      </w:r>
    </w:p>
    <w:p w14:paraId="47AF6283"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6" w:name="ArtL2_RC-2-A2.4"/>
      <w:bookmarkStart w:id="7" w:name="_Toc241676011"/>
      <w:bookmarkEnd w:id="6"/>
      <w:r>
        <w:rPr>
          <w:rFonts w:ascii="Century Gothic" w:eastAsia="Century Gothic" w:hAnsi="Century Gothic" w:cs="Century Gothic"/>
          <w:i w:val="0"/>
          <w:color w:val="000000"/>
          <w:sz w:val="24"/>
          <w:lang w:val="fr-FR"/>
        </w:rPr>
        <w:t>1.3 - Type et forme de contrat</w:t>
      </w:r>
      <w:bookmarkEnd w:id="7"/>
    </w:p>
    <w:p w14:paraId="47AF6285" w14:textId="1B8E1947" w:rsidR="004D7A50" w:rsidRDefault="00CA113A" w:rsidP="00CA113A">
      <w:pPr>
        <w:pStyle w:val="ParagrapheIndent2"/>
        <w:spacing w:after="240" w:line="270"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13D9C69B" w14:textId="462F9178" w:rsidR="00F76A6C" w:rsidRDefault="007B287B" w:rsidP="007B287B">
      <w:pPr>
        <w:rPr>
          <w:rFonts w:ascii="Century Gothic" w:eastAsia="Century Gothic" w:hAnsi="Century Gothic" w:cs="Century Gothic"/>
          <w:color w:val="000000"/>
          <w:sz w:val="22"/>
          <w:lang w:val="fr-FR"/>
        </w:rPr>
      </w:pPr>
      <w:r w:rsidRPr="00F76A6C">
        <w:rPr>
          <w:rFonts w:ascii="Century Gothic" w:eastAsia="Century Gothic" w:hAnsi="Century Gothic" w:cs="Century Gothic"/>
          <w:color w:val="000000"/>
          <w:sz w:val="22"/>
          <w:lang w:val="fr-FR"/>
        </w:rPr>
        <w:t xml:space="preserve">Les lots 1 et 3 seront </w:t>
      </w:r>
      <w:r w:rsidR="00F76A6C" w:rsidRPr="00F76A6C">
        <w:rPr>
          <w:rFonts w:ascii="Century Gothic" w:eastAsia="Century Gothic" w:hAnsi="Century Gothic" w:cs="Century Gothic"/>
          <w:color w:val="000000"/>
          <w:sz w:val="22"/>
          <w:lang w:val="fr-FR"/>
        </w:rPr>
        <w:t>attribués à un seul opérateur économique</w:t>
      </w:r>
      <w:r w:rsidR="00F76A6C">
        <w:rPr>
          <w:rFonts w:ascii="Century Gothic" w:eastAsia="Century Gothic" w:hAnsi="Century Gothic" w:cs="Century Gothic"/>
          <w:color w:val="000000"/>
          <w:sz w:val="22"/>
          <w:lang w:val="fr-FR"/>
        </w:rPr>
        <w:t xml:space="preserve">. </w:t>
      </w:r>
    </w:p>
    <w:p w14:paraId="6362090F" w14:textId="77777777" w:rsidR="000E0B10" w:rsidRDefault="000E0B10" w:rsidP="007B287B">
      <w:pPr>
        <w:rPr>
          <w:rFonts w:ascii="Century Gothic" w:eastAsia="Century Gothic" w:hAnsi="Century Gothic" w:cs="Century Gothic"/>
          <w:color w:val="000000"/>
          <w:sz w:val="22"/>
          <w:lang w:val="fr-FR"/>
        </w:rPr>
      </w:pPr>
    </w:p>
    <w:p w14:paraId="4FEA6BE5" w14:textId="4BE97A21" w:rsidR="000E0B10" w:rsidRDefault="000E0B10" w:rsidP="007B287B">
      <w:pPr>
        <w:rPr>
          <w:rFonts w:ascii="Century Gothic" w:eastAsia="Century Gothic" w:hAnsi="Century Gothic" w:cs="Century Gothic"/>
          <w:color w:val="000000"/>
          <w:sz w:val="22"/>
          <w:lang w:val="fr-FR"/>
        </w:rPr>
      </w:pPr>
      <w:r w:rsidRPr="000E0B10">
        <w:rPr>
          <w:rFonts w:ascii="Century Gothic" w:eastAsia="Century Gothic" w:hAnsi="Century Gothic" w:cs="Century Gothic"/>
          <w:color w:val="000000"/>
          <w:sz w:val="22"/>
          <w:lang w:val="fr-FR"/>
        </w:rPr>
        <w:t>Le lot 2 sera attribué à un maximum de trois opérateurs économiques sous réserve d’un nombre suffisant d’offres.</w:t>
      </w:r>
    </w:p>
    <w:p w14:paraId="79557312" w14:textId="77777777" w:rsidR="000E0B10" w:rsidRDefault="000E0B10" w:rsidP="007B287B">
      <w:pPr>
        <w:rPr>
          <w:rFonts w:ascii="Century Gothic" w:eastAsia="Century Gothic" w:hAnsi="Century Gothic" w:cs="Century Gothic"/>
          <w:color w:val="000000"/>
          <w:sz w:val="22"/>
          <w:lang w:val="fr-FR"/>
        </w:rPr>
      </w:pPr>
    </w:p>
    <w:p w14:paraId="265D4C86" w14:textId="77777777" w:rsidR="000E0B10" w:rsidRPr="00F76A6C" w:rsidRDefault="000E0B10" w:rsidP="007B287B">
      <w:pPr>
        <w:rPr>
          <w:rFonts w:ascii="Century Gothic" w:eastAsia="Century Gothic" w:hAnsi="Century Gothic" w:cs="Century Gothic"/>
          <w:color w:val="000000"/>
          <w:sz w:val="22"/>
          <w:lang w:val="fr-FR"/>
        </w:rPr>
      </w:pPr>
    </w:p>
    <w:p w14:paraId="47AF6287"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8" w:name="ArtL2_RC-2-A2.5"/>
      <w:bookmarkStart w:id="9" w:name="_Toc241676012"/>
      <w:bookmarkEnd w:id="8"/>
      <w:r>
        <w:rPr>
          <w:rFonts w:ascii="Century Gothic" w:eastAsia="Century Gothic" w:hAnsi="Century Gothic" w:cs="Century Gothic"/>
          <w:i w:val="0"/>
          <w:color w:val="000000"/>
          <w:sz w:val="24"/>
          <w:lang w:val="fr-FR"/>
        </w:rPr>
        <w:t>1.4 - Décomposition de la consultation</w:t>
      </w:r>
      <w:bookmarkEnd w:id="9"/>
    </w:p>
    <w:p w14:paraId="47AF6288" w14:textId="29C7190D" w:rsidR="004D7A50" w:rsidRDefault="00E669DC">
      <w:pPr>
        <w:pStyle w:val="ParagrapheIndent2"/>
        <w:spacing w:line="270" w:lineRule="exact"/>
        <w:jc w:val="both"/>
        <w:rPr>
          <w:color w:val="000000"/>
          <w:lang w:val="fr-FR"/>
        </w:rPr>
      </w:pPr>
      <w:r>
        <w:rPr>
          <w:color w:val="000000"/>
          <w:lang w:val="fr-FR"/>
        </w:rPr>
        <w:t xml:space="preserve">Les prestations sont réparties en 3 </w:t>
      </w:r>
      <w:r w:rsidR="0099359A">
        <w:rPr>
          <w:color w:val="000000"/>
          <w:lang w:val="fr-FR"/>
        </w:rPr>
        <w:t>l</w:t>
      </w:r>
      <w:r>
        <w:rPr>
          <w:color w:val="000000"/>
          <w:lang w:val="fr-FR"/>
        </w:rPr>
        <w:t>ot</w:t>
      </w:r>
      <w:r w:rsidR="0099359A">
        <w:rPr>
          <w:color w:val="000000"/>
          <w:lang w:val="fr-FR"/>
        </w:rPr>
        <w:t>s</w:t>
      </w:r>
      <w:r>
        <w:rPr>
          <w:color w:val="000000"/>
          <w:lang w:val="fr-FR"/>
        </w:rPr>
        <w:t xml:space="preserve"> :</w:t>
      </w:r>
    </w:p>
    <w:p w14:paraId="47AF6289" w14:textId="77777777" w:rsidR="004D7A50" w:rsidRDefault="004D7A50">
      <w:pPr>
        <w:pStyle w:val="ParagrapheIndent2"/>
        <w:spacing w:line="270" w:lineRule="exact"/>
        <w:jc w:val="both"/>
        <w:rPr>
          <w:color w:val="000000"/>
          <w:lang w:val="fr-FR"/>
        </w:rPr>
      </w:pPr>
    </w:p>
    <w:tbl>
      <w:tblPr>
        <w:tblW w:w="9642" w:type="dxa"/>
        <w:tblLayout w:type="fixed"/>
        <w:tblLook w:val="04A0" w:firstRow="1" w:lastRow="0" w:firstColumn="1" w:lastColumn="0" w:noHBand="0" w:noVBand="1"/>
      </w:tblPr>
      <w:tblGrid>
        <w:gridCol w:w="2226"/>
        <w:gridCol w:w="7416"/>
      </w:tblGrid>
      <w:tr w:rsidR="00BD2DA7" w14:paraId="79581F6D" w14:textId="77777777" w:rsidTr="008B57C1">
        <w:trPr>
          <w:trHeight w:val="454"/>
        </w:trPr>
        <w:tc>
          <w:tcPr>
            <w:tcW w:w="22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9AEA7A" w14:textId="77777777" w:rsidR="00BD2DA7" w:rsidRDefault="00BD2DA7" w:rsidP="0040563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741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224FB2" w14:textId="77777777" w:rsidR="00BD2DA7" w:rsidRDefault="00BD2DA7" w:rsidP="0040563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Désignation</w:t>
            </w:r>
          </w:p>
        </w:tc>
      </w:tr>
      <w:tr w:rsidR="00BD2DA7" w14:paraId="1ADE74BA" w14:textId="77777777" w:rsidTr="008B57C1">
        <w:trPr>
          <w:trHeight w:val="397"/>
        </w:trPr>
        <w:tc>
          <w:tcPr>
            <w:tcW w:w="2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4BA888B" w14:textId="77777777" w:rsidR="00BD2DA7" w:rsidRDefault="00BD2DA7" w:rsidP="0040563C">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74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3151549" w14:textId="1EF52FDA" w:rsidR="00BD2DA7" w:rsidRDefault="00A65E6B" w:rsidP="0040563C">
            <w:pPr>
              <w:spacing w:line="270" w:lineRule="exact"/>
              <w:ind w:left="80" w:right="80"/>
              <w:rPr>
                <w:rFonts w:ascii="Century Gothic" w:eastAsia="Century Gothic" w:hAnsi="Century Gothic" w:cs="Century Gothic"/>
                <w:color w:val="000000"/>
                <w:sz w:val="22"/>
                <w:lang w:val="fr-FR"/>
              </w:rPr>
            </w:pPr>
            <w:r w:rsidRPr="00A65E6B">
              <w:rPr>
                <w:rFonts w:ascii="Century Gothic" w:eastAsia="Century Gothic" w:hAnsi="Century Gothic" w:cs="Century Gothic"/>
                <w:color w:val="000000"/>
                <w:sz w:val="22"/>
                <w:lang w:val="fr-FR"/>
              </w:rPr>
              <w:t>Fourniture de pneumatiques neufs, accessoires et prestations associées pour les cycles</w:t>
            </w:r>
          </w:p>
        </w:tc>
      </w:tr>
      <w:tr w:rsidR="00BD2DA7" w14:paraId="097C5DBF" w14:textId="77777777" w:rsidTr="008B57C1">
        <w:trPr>
          <w:trHeight w:val="397"/>
        </w:trPr>
        <w:tc>
          <w:tcPr>
            <w:tcW w:w="2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330C9ED" w14:textId="77777777" w:rsidR="00BD2DA7" w:rsidRDefault="00BD2DA7" w:rsidP="0040563C">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74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BF7870" w14:textId="43F48C88" w:rsidR="00BD2DA7" w:rsidRDefault="00EB18CD" w:rsidP="00720901">
            <w:pPr>
              <w:spacing w:line="270" w:lineRule="exact"/>
              <w:ind w:left="80" w:right="80"/>
              <w:jc w:val="both"/>
              <w:rPr>
                <w:rFonts w:ascii="Century Gothic" w:eastAsia="Century Gothic" w:hAnsi="Century Gothic" w:cs="Century Gothic"/>
                <w:color w:val="000000"/>
                <w:sz w:val="22"/>
                <w:lang w:val="fr-FR"/>
              </w:rPr>
            </w:pPr>
            <w:r w:rsidRPr="00EB18CD">
              <w:rPr>
                <w:rFonts w:ascii="Century Gothic" w:eastAsia="Century Gothic" w:hAnsi="Century Gothic" w:cs="Century Gothic"/>
                <w:color w:val="000000"/>
                <w:sz w:val="22"/>
                <w:lang w:val="fr-FR"/>
              </w:rPr>
              <w:t>Fourniture de pneumatiques neufs</w:t>
            </w:r>
            <w:r w:rsidR="00237111">
              <w:rPr>
                <w:rFonts w:ascii="Century Gothic" w:eastAsia="Century Gothic" w:hAnsi="Century Gothic" w:cs="Century Gothic"/>
                <w:color w:val="000000"/>
                <w:sz w:val="22"/>
                <w:lang w:val="fr-FR"/>
              </w:rPr>
              <w:t xml:space="preserve">, accessoires </w:t>
            </w:r>
            <w:r w:rsidRPr="00EB18CD">
              <w:rPr>
                <w:rFonts w:ascii="Century Gothic" w:eastAsia="Century Gothic" w:hAnsi="Century Gothic" w:cs="Century Gothic"/>
                <w:color w:val="000000"/>
                <w:sz w:val="22"/>
                <w:lang w:val="fr-FR"/>
              </w:rPr>
              <w:t>et prestations associées pour véhicules légers et utilitaires</w:t>
            </w:r>
          </w:p>
        </w:tc>
      </w:tr>
      <w:tr w:rsidR="00BD2DA7" w14:paraId="63924644" w14:textId="77777777" w:rsidTr="008B57C1">
        <w:trPr>
          <w:trHeight w:val="397"/>
        </w:trPr>
        <w:tc>
          <w:tcPr>
            <w:tcW w:w="2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5867D1" w14:textId="2A6248D3" w:rsidR="00BD2DA7" w:rsidRDefault="00BD2DA7" w:rsidP="0040563C">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74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93AE4B" w14:textId="22B99CB3" w:rsidR="00BD2DA7" w:rsidRDefault="00C81799" w:rsidP="0040563C">
            <w:pPr>
              <w:spacing w:line="270" w:lineRule="exact"/>
              <w:ind w:left="80" w:right="80"/>
              <w:rPr>
                <w:rFonts w:ascii="Century Gothic" w:eastAsia="Century Gothic" w:hAnsi="Century Gothic" w:cs="Century Gothic"/>
                <w:color w:val="000000"/>
                <w:sz w:val="22"/>
                <w:lang w:val="fr-FR"/>
              </w:rPr>
            </w:pPr>
            <w:r w:rsidRPr="00C81799">
              <w:rPr>
                <w:rFonts w:ascii="Century Gothic" w:eastAsia="Century Gothic" w:hAnsi="Century Gothic" w:cs="Century Gothic"/>
                <w:color w:val="000000"/>
                <w:sz w:val="22"/>
                <w:lang w:val="fr-FR"/>
              </w:rPr>
              <w:t>Fourniture de pneumatiques rechapés</w:t>
            </w:r>
            <w:r w:rsidR="00237111">
              <w:rPr>
                <w:rFonts w:ascii="Century Gothic" w:eastAsia="Century Gothic" w:hAnsi="Century Gothic" w:cs="Century Gothic"/>
                <w:color w:val="000000"/>
                <w:sz w:val="22"/>
                <w:lang w:val="fr-FR"/>
              </w:rPr>
              <w:t>, accessoires</w:t>
            </w:r>
            <w:r w:rsidRPr="00C81799">
              <w:rPr>
                <w:rFonts w:ascii="Century Gothic" w:eastAsia="Century Gothic" w:hAnsi="Century Gothic" w:cs="Century Gothic"/>
                <w:color w:val="000000"/>
                <w:sz w:val="22"/>
                <w:lang w:val="fr-FR"/>
              </w:rPr>
              <w:t xml:space="preserve"> et prestations associées pour véhicules poids-lourds</w:t>
            </w:r>
          </w:p>
        </w:tc>
      </w:tr>
    </w:tbl>
    <w:p w14:paraId="7E80AA4D" w14:textId="77777777" w:rsidR="004D7A50" w:rsidRDefault="00E669DC">
      <w:pPr>
        <w:spacing w:line="240" w:lineRule="exact"/>
      </w:pPr>
      <w:r>
        <w:t xml:space="preserve"> </w:t>
      </w:r>
    </w:p>
    <w:p w14:paraId="47AF62B4" w14:textId="0E858BDC" w:rsidR="004D7A50" w:rsidRPr="00220BBF" w:rsidRDefault="00E669DC" w:rsidP="00220BBF">
      <w:pPr>
        <w:spacing w:after="300" w:line="240" w:lineRule="exact"/>
      </w:pPr>
      <w:r>
        <w:t xml:space="preserve"> </w:t>
      </w:r>
      <w:r>
        <w:rPr>
          <w:rFonts w:ascii="Century Gothic" w:eastAsia="Century Gothic" w:hAnsi="Century Gothic" w:cs="Century Gothic"/>
          <w:color w:val="000000"/>
          <w:sz w:val="22"/>
          <w:lang w:val="fr-FR"/>
        </w:rPr>
        <w:t>Chaque lot fera l'objet d'un accord-cadre.</w:t>
      </w:r>
    </w:p>
    <w:p w14:paraId="47AF62B5" w14:textId="77777777" w:rsidR="004D7A50" w:rsidRDefault="00E669DC">
      <w:pPr>
        <w:pStyle w:val="ParagrapheIndent2"/>
        <w:spacing w:after="240"/>
        <w:jc w:val="both"/>
        <w:rPr>
          <w:color w:val="000000"/>
          <w:lang w:val="fr-FR"/>
        </w:rPr>
      </w:pPr>
      <w:r>
        <w:rPr>
          <w:color w:val="000000"/>
          <w:lang w:val="fr-FR"/>
        </w:rPr>
        <w:t>Les candidats ont la possibilité de soumettre des offres pour tous les lots.</w:t>
      </w:r>
    </w:p>
    <w:p w14:paraId="14508893" w14:textId="77777777" w:rsidR="00924F64" w:rsidRPr="00924F64" w:rsidRDefault="00924F64" w:rsidP="00924F64">
      <w:pPr>
        <w:rPr>
          <w:lang w:val="fr-FR"/>
        </w:rPr>
      </w:pPr>
    </w:p>
    <w:p w14:paraId="4B48BDBE" w14:textId="77777777" w:rsidR="003811AF" w:rsidRPr="00A14337" w:rsidRDefault="003811AF" w:rsidP="003811AF">
      <w:pPr>
        <w:pStyle w:val="Titre2"/>
        <w:ind w:left="280"/>
        <w:jc w:val="both"/>
        <w:rPr>
          <w:rFonts w:ascii="Century Gothic" w:eastAsia="Century Gothic" w:hAnsi="Century Gothic" w:cs="Century Gothic"/>
          <w:i w:val="0"/>
          <w:color w:val="000000"/>
          <w:sz w:val="24"/>
          <w:lang w:val="fr-FR"/>
        </w:rPr>
      </w:pPr>
      <w:bookmarkStart w:id="10" w:name="_Toc215134521"/>
      <w:bookmarkStart w:id="11" w:name="_Toc215841534"/>
      <w:bookmarkStart w:id="12" w:name="_Toc226036438"/>
      <w:bookmarkStart w:id="13" w:name="_Toc226447593"/>
      <w:bookmarkStart w:id="14" w:name="_Toc241676013"/>
      <w:r w:rsidRPr="00A14337">
        <w:rPr>
          <w:rFonts w:ascii="Century Gothic" w:eastAsia="Century Gothic" w:hAnsi="Century Gothic" w:cs="Century Gothic"/>
          <w:i w:val="0"/>
          <w:color w:val="000000"/>
          <w:sz w:val="24"/>
          <w:lang w:val="fr-FR"/>
        </w:rPr>
        <w:t>1.5 - Etendue des prestations</w:t>
      </w:r>
      <w:bookmarkEnd w:id="10"/>
      <w:bookmarkEnd w:id="11"/>
      <w:bookmarkEnd w:id="12"/>
      <w:bookmarkEnd w:id="13"/>
      <w:bookmarkEnd w:id="14"/>
    </w:p>
    <w:p w14:paraId="40A3F80B" w14:textId="77777777" w:rsidR="003811AF" w:rsidRDefault="003811AF" w:rsidP="003811AF">
      <w:pPr>
        <w:pStyle w:val="ParagrapheIndent2"/>
        <w:jc w:val="both"/>
        <w:rPr>
          <w:lang w:val="fr-FR"/>
        </w:rPr>
      </w:pPr>
      <w:r w:rsidRPr="00A14337">
        <w:rPr>
          <w:lang w:val="fr-FR"/>
        </w:rPr>
        <w:t>Les prestations seront rémunérées par application aux quantités réellement exécutées des prix unitaires fixés dans le bordereau des prix.</w:t>
      </w:r>
    </w:p>
    <w:p w14:paraId="67756203" w14:textId="77777777" w:rsidR="00924F64" w:rsidRDefault="00924F64" w:rsidP="00924F64">
      <w:pPr>
        <w:rPr>
          <w:lang w:val="fr-FR"/>
        </w:rPr>
      </w:pPr>
    </w:p>
    <w:p w14:paraId="24997A61" w14:textId="77777777" w:rsidR="00924F64" w:rsidRPr="00924F64" w:rsidRDefault="00924F64" w:rsidP="00924F64">
      <w:pPr>
        <w:rPr>
          <w:lang w:val="fr-FR"/>
        </w:rPr>
      </w:pPr>
    </w:p>
    <w:p w14:paraId="6D6F858D" w14:textId="77777777" w:rsidR="003811AF" w:rsidRDefault="003811AF" w:rsidP="003811AF">
      <w:pPr>
        <w:pStyle w:val="ParagrapheIndent2"/>
        <w:jc w:val="both"/>
        <w:rPr>
          <w:rFonts w:ascii="Times New Roman" w:hAnsi="Times New Roman" w:cs="Times New Roman"/>
          <w:b/>
          <w:bCs/>
          <w:i/>
          <w:iCs/>
          <w:sz w:val="24"/>
          <w:lang w:val="fr-FR"/>
        </w:rPr>
      </w:pPr>
    </w:p>
    <w:p w14:paraId="155FCEFE" w14:textId="77777777" w:rsidR="00401167" w:rsidRPr="00401167" w:rsidRDefault="00401167" w:rsidP="00401167">
      <w:pPr>
        <w:rPr>
          <w:lang w:val="fr-FR"/>
        </w:rPr>
      </w:pPr>
    </w:p>
    <w:p w14:paraId="6A635DF8" w14:textId="77777777" w:rsidR="003811AF" w:rsidRPr="00A14337" w:rsidRDefault="003811AF" w:rsidP="003811AF">
      <w:pPr>
        <w:pStyle w:val="ParagrapheIndent2"/>
        <w:jc w:val="both"/>
        <w:rPr>
          <w:lang w:val="fr-FR"/>
        </w:rPr>
      </w:pPr>
      <w:r w:rsidRPr="00A14337">
        <w:rPr>
          <w:lang w:val="fr-FR"/>
        </w:rPr>
        <w:lastRenderedPageBreak/>
        <w:t>Les montants des prestations pour la période initiale de l'accord-cadre sont définis comme suit :</w:t>
      </w:r>
    </w:p>
    <w:p w14:paraId="0118D4BB" w14:textId="77777777" w:rsidR="003811AF" w:rsidRPr="00A14337" w:rsidRDefault="003811AF" w:rsidP="003811AF">
      <w:pPr>
        <w:rPr>
          <w:lang w:val="fr-FR"/>
        </w:rPr>
      </w:pPr>
    </w:p>
    <w:tbl>
      <w:tblPr>
        <w:tblW w:w="7328" w:type="dxa"/>
        <w:tblInd w:w="1142" w:type="dxa"/>
        <w:tblLayout w:type="fixed"/>
        <w:tblLook w:val="04A0" w:firstRow="1" w:lastRow="0" w:firstColumn="1" w:lastColumn="0" w:noHBand="0" w:noVBand="1"/>
      </w:tblPr>
      <w:tblGrid>
        <w:gridCol w:w="1417"/>
        <w:gridCol w:w="3201"/>
        <w:gridCol w:w="2710"/>
      </w:tblGrid>
      <w:tr w:rsidR="003811AF" w:rsidRPr="00A14337" w14:paraId="3078814F" w14:textId="77777777" w:rsidTr="0040563C">
        <w:trPr>
          <w:trHeight w:val="342"/>
        </w:trPr>
        <w:tc>
          <w:tcPr>
            <w:tcW w:w="1417" w:type="dxa"/>
            <w:tcBorders>
              <w:top w:val="single" w:sz="4" w:space="0" w:color="auto"/>
              <w:left w:val="single" w:sz="4" w:space="0" w:color="auto"/>
              <w:bottom w:val="single" w:sz="4" w:space="0" w:color="auto"/>
            </w:tcBorders>
            <w:shd w:val="clear" w:color="auto" w:fill="D9D9D9" w:themeFill="background1" w:themeFillShade="D9"/>
          </w:tcPr>
          <w:p w14:paraId="30A5B10C" w14:textId="77777777" w:rsidR="003811AF" w:rsidRPr="00A14337" w:rsidRDefault="003811AF" w:rsidP="0040563C">
            <w:pPr>
              <w:pStyle w:val="ParagrapheIndent1"/>
              <w:jc w:val="center"/>
              <w:rPr>
                <w:color w:val="000000"/>
                <w:lang w:val="fr-FR"/>
              </w:rPr>
            </w:pPr>
            <w:r>
              <w:rPr>
                <w:color w:val="000000"/>
                <w:lang w:val="fr-FR"/>
              </w:rPr>
              <w:t>Lots</w:t>
            </w:r>
          </w:p>
        </w:tc>
        <w:tc>
          <w:tcPr>
            <w:tcW w:w="3201" w:type="dxa"/>
            <w:tcBorders>
              <w:top w:val="single" w:sz="2" w:space="0" w:color="000000"/>
              <w:left w:val="single" w:sz="2" w:space="0" w:color="000000"/>
              <w:right w:val="single" w:sz="2" w:space="0" w:color="000000"/>
            </w:tcBorders>
            <w:shd w:val="clear" w:color="auto" w:fill="D9D9D9" w:themeFill="background1" w:themeFillShade="D9"/>
          </w:tcPr>
          <w:p w14:paraId="5F85EC28" w14:textId="77777777" w:rsidR="003811AF" w:rsidRPr="00A14337" w:rsidRDefault="003811AF" w:rsidP="0040563C">
            <w:pPr>
              <w:pStyle w:val="ParagrapheIndent1"/>
              <w:jc w:val="center"/>
              <w:rPr>
                <w:color w:val="000000"/>
                <w:lang w:val="fr-FR"/>
              </w:rPr>
            </w:pPr>
            <w:r w:rsidRPr="00A14337">
              <w:rPr>
                <w:color w:val="000000"/>
                <w:lang w:val="fr-FR"/>
              </w:rPr>
              <w:t>Montant estimé annuel HT</w:t>
            </w:r>
          </w:p>
        </w:tc>
        <w:tc>
          <w:tcPr>
            <w:tcW w:w="2710" w:type="dxa"/>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2FC194DC" w14:textId="77777777" w:rsidR="003811AF" w:rsidRPr="00A14337" w:rsidRDefault="003811AF" w:rsidP="0040563C">
            <w:pPr>
              <w:pStyle w:val="ParagrapheIndent1"/>
              <w:jc w:val="center"/>
              <w:rPr>
                <w:color w:val="000000"/>
                <w:lang w:val="fr-FR"/>
              </w:rPr>
            </w:pPr>
            <w:r w:rsidRPr="00A14337">
              <w:rPr>
                <w:color w:val="000000"/>
                <w:lang w:val="fr-FR"/>
              </w:rPr>
              <w:t>Montant Maximum annuel HT</w:t>
            </w:r>
          </w:p>
        </w:tc>
      </w:tr>
      <w:tr w:rsidR="003811AF" w:rsidRPr="00A14337" w14:paraId="07625C2A" w14:textId="77777777" w:rsidTr="0040563C">
        <w:trPr>
          <w:trHeight w:val="279"/>
        </w:trPr>
        <w:tc>
          <w:tcPr>
            <w:tcW w:w="1417" w:type="dxa"/>
            <w:tcBorders>
              <w:top w:val="single" w:sz="4" w:space="0" w:color="auto"/>
              <w:left w:val="single" w:sz="4" w:space="0" w:color="auto"/>
              <w:bottom w:val="single" w:sz="4" w:space="0" w:color="auto"/>
            </w:tcBorders>
          </w:tcPr>
          <w:p w14:paraId="1A056ED2" w14:textId="77777777" w:rsidR="003811AF" w:rsidRPr="00A14337" w:rsidRDefault="003811AF" w:rsidP="0040563C">
            <w:pPr>
              <w:pStyle w:val="ParagrapheIndent1"/>
              <w:jc w:val="center"/>
              <w:rPr>
                <w:color w:val="000000"/>
                <w:lang w:val="fr-FR"/>
              </w:rPr>
            </w:pPr>
            <w:r>
              <w:rPr>
                <w:color w:val="000000"/>
                <w:lang w:val="fr-FR"/>
              </w:rPr>
              <w:t>1</w:t>
            </w:r>
          </w:p>
        </w:tc>
        <w:tc>
          <w:tcPr>
            <w:tcW w:w="3201" w:type="dxa"/>
            <w:tcBorders>
              <w:top w:val="single" w:sz="2" w:space="0" w:color="000000"/>
              <w:left w:val="single" w:sz="2" w:space="0" w:color="000000"/>
              <w:bottom w:val="single" w:sz="2" w:space="0" w:color="000000"/>
              <w:right w:val="single" w:sz="2" w:space="0" w:color="000000"/>
            </w:tcBorders>
          </w:tcPr>
          <w:p w14:paraId="5D792DD4" w14:textId="7E7CD02E" w:rsidR="003811AF" w:rsidRPr="00F1481E" w:rsidRDefault="00A45B2F" w:rsidP="0040563C">
            <w:pPr>
              <w:pStyle w:val="ParagrapheIndent1"/>
              <w:jc w:val="center"/>
              <w:rPr>
                <w:color w:val="000000"/>
                <w:lang w:val="fr-FR"/>
              </w:rPr>
            </w:pPr>
            <w:r>
              <w:rPr>
                <w:color w:val="000000"/>
                <w:lang w:val="fr-FR"/>
              </w:rPr>
              <w:t>5000 €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FF90F" w14:textId="1A9DBFB9" w:rsidR="003811AF" w:rsidRPr="00F1481E" w:rsidRDefault="00A45B2F" w:rsidP="0040563C">
            <w:pPr>
              <w:pStyle w:val="ParagrapheIndent1"/>
              <w:jc w:val="center"/>
              <w:rPr>
                <w:color w:val="000000"/>
                <w:lang w:val="fr-FR"/>
              </w:rPr>
            </w:pPr>
            <w:r>
              <w:rPr>
                <w:color w:val="000000"/>
                <w:lang w:val="fr-FR"/>
              </w:rPr>
              <w:t>7</w:t>
            </w:r>
            <w:r w:rsidR="003811AF" w:rsidRPr="00F1481E">
              <w:rPr>
                <w:color w:val="000000"/>
                <w:lang w:val="fr-FR"/>
              </w:rPr>
              <w:t>000 €</w:t>
            </w:r>
          </w:p>
        </w:tc>
      </w:tr>
      <w:tr w:rsidR="003811AF" w:rsidRPr="00A14337" w14:paraId="5AF76D41" w14:textId="77777777" w:rsidTr="0040563C">
        <w:trPr>
          <w:trHeight w:val="279"/>
        </w:trPr>
        <w:tc>
          <w:tcPr>
            <w:tcW w:w="1417" w:type="dxa"/>
            <w:tcBorders>
              <w:top w:val="single" w:sz="4" w:space="0" w:color="auto"/>
              <w:left w:val="single" w:sz="4" w:space="0" w:color="auto"/>
              <w:bottom w:val="single" w:sz="4" w:space="0" w:color="auto"/>
            </w:tcBorders>
          </w:tcPr>
          <w:p w14:paraId="63767512" w14:textId="77777777" w:rsidR="003811AF" w:rsidRPr="00A14337" w:rsidRDefault="003811AF" w:rsidP="0040563C">
            <w:pPr>
              <w:pStyle w:val="ParagrapheIndent1"/>
              <w:jc w:val="center"/>
              <w:rPr>
                <w:color w:val="000000"/>
                <w:lang w:val="fr-FR"/>
              </w:rPr>
            </w:pPr>
            <w:r>
              <w:rPr>
                <w:color w:val="000000"/>
                <w:lang w:val="fr-FR"/>
              </w:rPr>
              <w:t>2</w:t>
            </w:r>
          </w:p>
        </w:tc>
        <w:tc>
          <w:tcPr>
            <w:tcW w:w="3201" w:type="dxa"/>
            <w:tcBorders>
              <w:top w:val="single" w:sz="2" w:space="0" w:color="000000"/>
              <w:left w:val="single" w:sz="2" w:space="0" w:color="000000"/>
              <w:bottom w:val="single" w:sz="2" w:space="0" w:color="000000"/>
              <w:right w:val="single" w:sz="2" w:space="0" w:color="000000"/>
            </w:tcBorders>
          </w:tcPr>
          <w:p w14:paraId="52762E1F" w14:textId="4FFB5DFD" w:rsidR="003811AF" w:rsidRPr="00F1481E" w:rsidRDefault="008E5B1C" w:rsidP="0040563C">
            <w:pPr>
              <w:pStyle w:val="ParagrapheIndent1"/>
              <w:jc w:val="center"/>
              <w:rPr>
                <w:color w:val="000000"/>
                <w:lang w:val="fr-FR"/>
              </w:rPr>
            </w:pPr>
            <w:r>
              <w:rPr>
                <w:color w:val="000000"/>
                <w:lang w:val="fr-FR"/>
              </w:rPr>
              <w:t>65</w:t>
            </w:r>
            <w:r w:rsidR="003811AF" w:rsidRPr="00F1481E">
              <w:rPr>
                <w:color w:val="000000"/>
                <w:lang w:val="fr-FR"/>
              </w:rPr>
              <w:t>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D43B66" w14:textId="32EF2B76" w:rsidR="003811AF" w:rsidRPr="00F1481E" w:rsidRDefault="008E5B1C" w:rsidP="0040563C">
            <w:pPr>
              <w:pStyle w:val="ParagrapheIndent1"/>
              <w:jc w:val="center"/>
              <w:rPr>
                <w:color w:val="000000"/>
                <w:lang w:val="fr-FR"/>
              </w:rPr>
            </w:pPr>
            <w:r>
              <w:rPr>
                <w:color w:val="000000"/>
                <w:lang w:val="fr-FR"/>
              </w:rPr>
              <w:t>75</w:t>
            </w:r>
            <w:r w:rsidR="003811AF" w:rsidRPr="00F1481E">
              <w:rPr>
                <w:color w:val="000000"/>
                <w:lang w:val="fr-FR"/>
              </w:rPr>
              <w:t> 000 €</w:t>
            </w:r>
          </w:p>
        </w:tc>
      </w:tr>
      <w:tr w:rsidR="003811AF" w:rsidRPr="00A14337" w14:paraId="7E0A2A36" w14:textId="77777777" w:rsidTr="0040563C">
        <w:trPr>
          <w:trHeight w:val="279"/>
        </w:trPr>
        <w:tc>
          <w:tcPr>
            <w:tcW w:w="1417" w:type="dxa"/>
            <w:tcBorders>
              <w:top w:val="single" w:sz="4" w:space="0" w:color="auto"/>
              <w:left w:val="single" w:sz="4" w:space="0" w:color="auto"/>
              <w:bottom w:val="single" w:sz="4" w:space="0" w:color="auto"/>
            </w:tcBorders>
          </w:tcPr>
          <w:p w14:paraId="61272F1A" w14:textId="77777777" w:rsidR="003811AF" w:rsidRDefault="003811AF" w:rsidP="0040563C">
            <w:pPr>
              <w:pStyle w:val="ParagrapheIndent1"/>
              <w:jc w:val="center"/>
              <w:rPr>
                <w:color w:val="000000"/>
                <w:lang w:val="fr-FR"/>
              </w:rPr>
            </w:pPr>
            <w:r>
              <w:rPr>
                <w:color w:val="000000"/>
                <w:lang w:val="fr-FR"/>
              </w:rPr>
              <w:t>3</w:t>
            </w:r>
          </w:p>
        </w:tc>
        <w:tc>
          <w:tcPr>
            <w:tcW w:w="3201" w:type="dxa"/>
            <w:tcBorders>
              <w:top w:val="single" w:sz="2" w:space="0" w:color="000000"/>
              <w:left w:val="single" w:sz="2" w:space="0" w:color="000000"/>
              <w:bottom w:val="single" w:sz="2" w:space="0" w:color="000000"/>
              <w:right w:val="single" w:sz="2" w:space="0" w:color="000000"/>
            </w:tcBorders>
          </w:tcPr>
          <w:p w14:paraId="3746E624" w14:textId="078CD798" w:rsidR="003811AF" w:rsidRPr="00F1481E" w:rsidRDefault="00872FB1" w:rsidP="0040563C">
            <w:pPr>
              <w:pStyle w:val="ParagrapheIndent1"/>
              <w:jc w:val="center"/>
              <w:rPr>
                <w:color w:val="000000"/>
                <w:lang w:val="fr-FR"/>
              </w:rPr>
            </w:pPr>
            <w:r>
              <w:rPr>
                <w:color w:val="000000"/>
                <w:lang w:val="fr-FR"/>
              </w:rPr>
              <w:t xml:space="preserve">40 </w:t>
            </w:r>
            <w:r w:rsidR="003811AF" w:rsidRPr="00F1481E">
              <w:rPr>
                <w:color w:val="000000"/>
                <w:lang w:val="fr-FR"/>
              </w:rPr>
              <w:t>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F7C9EC" w14:textId="61667A79" w:rsidR="003811AF" w:rsidRPr="00F1481E" w:rsidRDefault="00872FB1" w:rsidP="0040563C">
            <w:pPr>
              <w:pStyle w:val="ParagrapheIndent1"/>
              <w:jc w:val="center"/>
              <w:rPr>
                <w:color w:val="000000"/>
                <w:lang w:val="fr-FR"/>
              </w:rPr>
            </w:pPr>
            <w:r>
              <w:rPr>
                <w:color w:val="000000"/>
                <w:lang w:val="fr-FR"/>
              </w:rPr>
              <w:t>50</w:t>
            </w:r>
            <w:r w:rsidR="003811AF" w:rsidRPr="00F1481E">
              <w:rPr>
                <w:color w:val="000000"/>
                <w:lang w:val="fr-FR"/>
              </w:rPr>
              <w:t xml:space="preserve"> 000 €</w:t>
            </w:r>
          </w:p>
        </w:tc>
      </w:tr>
    </w:tbl>
    <w:p w14:paraId="670264C2" w14:textId="77777777" w:rsidR="003811AF" w:rsidRPr="00A14337" w:rsidRDefault="003811AF" w:rsidP="003811AF">
      <w:pPr>
        <w:rPr>
          <w:lang w:val="fr-FR"/>
        </w:rPr>
      </w:pPr>
    </w:p>
    <w:p w14:paraId="20488091" w14:textId="6DEA447E" w:rsidR="008B57C1" w:rsidRPr="00C179DD" w:rsidRDefault="003811AF" w:rsidP="00C179DD">
      <w:pPr>
        <w:pStyle w:val="ParagrapheIndent1"/>
        <w:rPr>
          <w:color w:val="000000"/>
          <w:lang w:val="fr-FR"/>
        </w:rPr>
      </w:pPr>
      <w:r w:rsidRPr="00A14337">
        <w:rPr>
          <w:color w:val="000000"/>
          <w:lang w:val="fr-FR"/>
        </w:rPr>
        <w:t>Les montants seront identiques pour chaque période de reconduction.</w:t>
      </w:r>
    </w:p>
    <w:p w14:paraId="02F4A366" w14:textId="77777777" w:rsidR="008B57C1" w:rsidRPr="008B57C1" w:rsidRDefault="008B57C1" w:rsidP="008B57C1">
      <w:pPr>
        <w:rPr>
          <w:lang w:val="fr-FR"/>
        </w:rPr>
      </w:pPr>
    </w:p>
    <w:p w14:paraId="47AF62B6" w14:textId="1E88953E" w:rsidR="004D7A50" w:rsidRDefault="00E669DC">
      <w:pPr>
        <w:pStyle w:val="Titre2"/>
        <w:ind w:left="280"/>
        <w:jc w:val="both"/>
        <w:rPr>
          <w:rFonts w:ascii="Century Gothic" w:eastAsia="Century Gothic" w:hAnsi="Century Gothic" w:cs="Century Gothic"/>
          <w:i w:val="0"/>
          <w:color w:val="000000"/>
          <w:sz w:val="24"/>
          <w:lang w:val="fr-FR"/>
        </w:rPr>
      </w:pPr>
      <w:bookmarkStart w:id="15" w:name="ArtL2_RC-2-A2.7"/>
      <w:bookmarkStart w:id="16" w:name="_Toc241676014"/>
      <w:bookmarkEnd w:id="15"/>
      <w:r>
        <w:rPr>
          <w:rFonts w:ascii="Century Gothic" w:eastAsia="Century Gothic" w:hAnsi="Century Gothic" w:cs="Century Gothic"/>
          <w:i w:val="0"/>
          <w:color w:val="000000"/>
          <w:sz w:val="24"/>
          <w:lang w:val="fr-FR"/>
        </w:rPr>
        <w:t>1.</w:t>
      </w:r>
      <w:r w:rsidR="003D438E">
        <w:rPr>
          <w:rFonts w:ascii="Century Gothic" w:eastAsia="Century Gothic" w:hAnsi="Century Gothic" w:cs="Century Gothic"/>
          <w:i w:val="0"/>
          <w:color w:val="000000"/>
          <w:sz w:val="24"/>
          <w:lang w:val="fr-FR"/>
        </w:rPr>
        <w:t>6</w:t>
      </w:r>
      <w:r>
        <w:rPr>
          <w:rFonts w:ascii="Century Gothic" w:eastAsia="Century Gothic" w:hAnsi="Century Gothic" w:cs="Century Gothic"/>
          <w:i w:val="0"/>
          <w:color w:val="000000"/>
          <w:sz w:val="24"/>
          <w:lang w:val="fr-FR"/>
        </w:rPr>
        <w:t xml:space="preserve"> - Nomenclature</w:t>
      </w:r>
      <w:bookmarkEnd w:id="16"/>
    </w:p>
    <w:p w14:paraId="47AF62B7" w14:textId="77777777" w:rsidR="004D7A50" w:rsidRDefault="00E669DC">
      <w:pPr>
        <w:pStyle w:val="ParagrapheIndent2"/>
        <w:spacing w:line="270" w:lineRule="exact"/>
        <w:jc w:val="both"/>
        <w:rPr>
          <w:color w:val="000000"/>
          <w:lang w:val="fr-FR"/>
        </w:rPr>
      </w:pPr>
      <w:r>
        <w:rPr>
          <w:color w:val="000000"/>
          <w:lang w:val="fr-FR"/>
        </w:rPr>
        <w:t>La classification conforme au vocabulaire commun des marchés européens (CPV) est :</w:t>
      </w:r>
    </w:p>
    <w:p w14:paraId="47AF62B8" w14:textId="77777777" w:rsidR="004D7A50" w:rsidRDefault="004D7A50">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4D7A50" w14:paraId="47AF62BB"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2B9"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2BA"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4D7A50" w14:paraId="47AF62B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BC" w14:textId="1DD5C0D6" w:rsidR="004D7A50" w:rsidRPr="00974E9F" w:rsidRDefault="00E669DC">
            <w:pPr>
              <w:spacing w:before="20" w:after="20"/>
              <w:ind w:left="40" w:right="40"/>
              <w:jc w:val="center"/>
              <w:rPr>
                <w:rFonts w:ascii="Century Gothic" w:eastAsia="Century Gothic" w:hAnsi="Century Gothic" w:cs="Century Gothic"/>
                <w:color w:val="000000"/>
                <w:sz w:val="22"/>
                <w:lang w:val="fr-FR"/>
              </w:rPr>
            </w:pPr>
            <w:r w:rsidRPr="00974E9F">
              <w:rPr>
                <w:rFonts w:ascii="Century Gothic" w:eastAsia="Century Gothic" w:hAnsi="Century Gothic" w:cs="Century Gothic"/>
                <w:color w:val="000000"/>
                <w:sz w:val="22"/>
                <w:lang w:val="fr-FR"/>
              </w:rPr>
              <w:t>3435</w:t>
            </w:r>
            <w:r w:rsidR="00974E9F" w:rsidRPr="00974E9F">
              <w:rPr>
                <w:rFonts w:ascii="Century Gothic" w:eastAsia="Century Gothic" w:hAnsi="Century Gothic" w:cs="Century Gothic"/>
                <w:color w:val="000000"/>
                <w:sz w:val="22"/>
                <w:lang w:val="fr-FR"/>
              </w:rPr>
              <w:t xml:space="preserve">0000-5 </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BD" w14:textId="73974A1A" w:rsidR="004D7A50" w:rsidRPr="00974E9F" w:rsidRDefault="00E669DC">
            <w:pPr>
              <w:spacing w:before="20" w:after="20"/>
              <w:ind w:left="40" w:right="40"/>
              <w:jc w:val="both"/>
              <w:rPr>
                <w:rFonts w:ascii="Century Gothic" w:eastAsia="Century Gothic" w:hAnsi="Century Gothic" w:cs="Century Gothic"/>
                <w:color w:val="000000"/>
                <w:sz w:val="22"/>
                <w:lang w:val="fr-FR"/>
              </w:rPr>
            </w:pPr>
            <w:r w:rsidRPr="00974E9F">
              <w:rPr>
                <w:rFonts w:ascii="Century Gothic" w:eastAsia="Century Gothic" w:hAnsi="Century Gothic" w:cs="Century Gothic"/>
                <w:color w:val="000000"/>
                <w:sz w:val="22"/>
                <w:lang w:val="fr-FR"/>
              </w:rPr>
              <w:t xml:space="preserve">Pneus pour </w:t>
            </w:r>
            <w:r w:rsidR="00974E9F" w:rsidRPr="00974E9F">
              <w:rPr>
                <w:rFonts w:ascii="Century Gothic" w:eastAsia="Century Gothic" w:hAnsi="Century Gothic" w:cs="Century Gothic"/>
                <w:color w:val="000000"/>
                <w:sz w:val="22"/>
                <w:lang w:val="fr-FR"/>
              </w:rPr>
              <w:t>charges légères et lourdes</w:t>
            </w:r>
          </w:p>
        </w:tc>
      </w:tr>
    </w:tbl>
    <w:p w14:paraId="47AF62CE" w14:textId="77777777" w:rsidR="004D7A50" w:rsidRDefault="00E669DC">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4D7A50" w14:paraId="47AF62D2"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2CF" w14:textId="77777777" w:rsidR="004D7A50" w:rsidRDefault="00E669DC">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2D0" w14:textId="77777777" w:rsidR="004D7A50" w:rsidRDefault="00E669DC">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2D1" w14:textId="77777777" w:rsidR="004D7A50" w:rsidRDefault="00E669DC">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4D7A50" w14:paraId="47AF62D6"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3"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4"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34432100-5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5" w14:textId="77777777" w:rsidR="004D7A50" w:rsidRDefault="00E669DC">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Pneus pour bicyclettes</w:t>
            </w:r>
          </w:p>
        </w:tc>
      </w:tr>
      <w:tr w:rsidR="004D7A50" w14:paraId="47AF62DA" w14:textId="77777777">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7"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8"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50116500-6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9" w14:textId="77777777" w:rsidR="004D7A50" w:rsidRDefault="00E669DC">
            <w:pPr>
              <w:spacing w:before="20" w:after="20" w:line="270" w:lineRule="exact"/>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Services de réparation de pneus, y compris montage et équilibrage</w:t>
            </w:r>
          </w:p>
        </w:tc>
      </w:tr>
      <w:tr w:rsidR="004D7A50" w14:paraId="47AF62D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B"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C"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34351100-3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D" w14:textId="77777777" w:rsidR="004D7A50" w:rsidRDefault="00E669DC">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Pneus pour voitures</w:t>
            </w:r>
          </w:p>
        </w:tc>
      </w:tr>
      <w:tr w:rsidR="004D7A50" w14:paraId="47AF62E2" w14:textId="77777777">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DF"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0" w14:textId="77777777" w:rsidR="004D7A50" w:rsidRPr="00A63940" w:rsidRDefault="00E669DC">
            <w:pPr>
              <w:spacing w:before="20" w:after="20"/>
              <w:ind w:left="40" w:right="40"/>
              <w:jc w:val="center"/>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50116500-6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1" w14:textId="77777777" w:rsidR="004D7A50" w:rsidRPr="00A63940" w:rsidRDefault="00E669DC">
            <w:pPr>
              <w:spacing w:before="20" w:after="20" w:line="270" w:lineRule="exact"/>
              <w:ind w:left="40" w:right="40"/>
              <w:jc w:val="both"/>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Services de réparation de pneus, y compris montage et équilibrage</w:t>
            </w:r>
          </w:p>
        </w:tc>
      </w:tr>
      <w:tr w:rsidR="00A63940" w14:paraId="66C069D6" w14:textId="77777777">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B6F84" w14:textId="6B03CA1E" w:rsidR="00A63940" w:rsidRDefault="00A63940" w:rsidP="00A6394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61D4E0" w14:textId="12CFC603" w:rsidR="00A63940" w:rsidRPr="00A63940" w:rsidRDefault="00A63940" w:rsidP="00A63940">
            <w:pPr>
              <w:spacing w:before="20" w:after="20"/>
              <w:ind w:left="40" w:right="40"/>
              <w:jc w:val="center"/>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34913200-2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305882" w14:textId="47EC2A25" w:rsidR="00A63940" w:rsidRPr="00A63940" w:rsidRDefault="00A63940" w:rsidP="00A63940">
            <w:pPr>
              <w:spacing w:before="20" w:after="20" w:line="270" w:lineRule="exact"/>
              <w:ind w:left="40" w:right="40"/>
              <w:jc w:val="both"/>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Pneus rechapés</w:t>
            </w:r>
          </w:p>
        </w:tc>
      </w:tr>
      <w:tr w:rsidR="00A63940" w14:paraId="47AF62E6"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3" w14:textId="77777777" w:rsidR="00A63940" w:rsidRDefault="00A63940" w:rsidP="00A6394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4" w14:textId="77777777" w:rsidR="00A63940" w:rsidRPr="00A63940" w:rsidRDefault="00A63940" w:rsidP="00A63940">
            <w:pPr>
              <w:spacing w:before="20" w:after="20"/>
              <w:ind w:left="40" w:right="40"/>
              <w:jc w:val="center"/>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34352100-0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5" w14:textId="77777777" w:rsidR="00A63940" w:rsidRPr="00A63940" w:rsidRDefault="00A63940" w:rsidP="00A63940">
            <w:pPr>
              <w:spacing w:before="20" w:after="20"/>
              <w:ind w:left="40" w:right="40"/>
              <w:jc w:val="both"/>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Pneus pour camions</w:t>
            </w:r>
          </w:p>
        </w:tc>
      </w:tr>
      <w:tr w:rsidR="00A63940" w14:paraId="47AF62EA" w14:textId="77777777">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7" w14:textId="77777777" w:rsidR="00A63940" w:rsidRDefault="00A63940" w:rsidP="00A6394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8" w14:textId="77777777" w:rsidR="00A63940" w:rsidRPr="00A63940" w:rsidRDefault="00A63940" w:rsidP="00A63940">
            <w:pPr>
              <w:spacing w:before="20" w:after="20"/>
              <w:ind w:left="40" w:right="40"/>
              <w:jc w:val="center"/>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50116500-6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2E9" w14:textId="77777777" w:rsidR="00A63940" w:rsidRPr="00A63940" w:rsidRDefault="00A63940" w:rsidP="00A63940">
            <w:pPr>
              <w:spacing w:before="20" w:after="20" w:line="270" w:lineRule="exact"/>
              <w:ind w:left="40" w:right="40"/>
              <w:jc w:val="both"/>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Services de réparation de pneus, y compris montage et équilibrage</w:t>
            </w:r>
          </w:p>
        </w:tc>
      </w:tr>
      <w:tr w:rsidR="00A63940" w14:paraId="00D8902B" w14:textId="77777777">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8A2E38" w14:textId="0D56A2C1" w:rsidR="00A63940" w:rsidRDefault="00A63940" w:rsidP="00A6394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1BD0F7" w14:textId="72A3ED80" w:rsidR="00A63940" w:rsidRPr="00A63940" w:rsidRDefault="00A63940" w:rsidP="00A63940">
            <w:pPr>
              <w:spacing w:before="20" w:after="20"/>
              <w:ind w:left="40" w:right="40"/>
              <w:jc w:val="center"/>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34913200-2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2C7D87" w14:textId="15DB47EE" w:rsidR="00A63940" w:rsidRPr="00A63940" w:rsidRDefault="00A63940" w:rsidP="00A63940">
            <w:pPr>
              <w:spacing w:before="20" w:after="20" w:line="270" w:lineRule="exact"/>
              <w:ind w:left="40" w:right="40"/>
              <w:jc w:val="both"/>
              <w:rPr>
                <w:rFonts w:ascii="Century Gothic" w:eastAsia="Century Gothic" w:hAnsi="Century Gothic" w:cs="Century Gothic"/>
                <w:color w:val="000000"/>
                <w:sz w:val="22"/>
                <w:lang w:val="fr-FR"/>
              </w:rPr>
            </w:pPr>
            <w:r w:rsidRPr="00A63940">
              <w:rPr>
                <w:rFonts w:ascii="Century Gothic" w:eastAsia="Century Gothic" w:hAnsi="Century Gothic" w:cs="Century Gothic"/>
                <w:color w:val="000000"/>
                <w:sz w:val="22"/>
                <w:lang w:val="fr-FR"/>
              </w:rPr>
              <w:t>Pneus rechapés</w:t>
            </w:r>
          </w:p>
        </w:tc>
      </w:tr>
    </w:tbl>
    <w:p w14:paraId="0EFC0A09" w14:textId="41C5A38F" w:rsidR="004D7A50" w:rsidRPr="008B57C1" w:rsidRDefault="004D7A50" w:rsidP="008B57C1">
      <w:pPr>
        <w:spacing w:after="400" w:line="240" w:lineRule="exact"/>
      </w:pPr>
    </w:p>
    <w:p w14:paraId="47AF6308"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17" w:name="ArtL1_RC-2-A3"/>
      <w:bookmarkStart w:id="18" w:name="_Toc241676015"/>
      <w:bookmarkEnd w:id="17"/>
      <w:r>
        <w:rPr>
          <w:rFonts w:ascii="Century Gothic" w:eastAsia="Century Gothic" w:hAnsi="Century Gothic" w:cs="Century Gothic"/>
          <w:color w:val="FFFFFF"/>
          <w:sz w:val="28"/>
          <w:lang w:val="fr-FR"/>
        </w:rPr>
        <w:t>2 - Conditions de la consultation</w:t>
      </w:r>
      <w:bookmarkEnd w:id="18"/>
    </w:p>
    <w:p w14:paraId="47AF6309" w14:textId="77777777" w:rsidR="004D7A50" w:rsidRDefault="00E669DC">
      <w:pPr>
        <w:spacing w:line="60" w:lineRule="exact"/>
        <w:rPr>
          <w:sz w:val="6"/>
        </w:rPr>
      </w:pPr>
      <w:r>
        <w:t xml:space="preserve"> </w:t>
      </w:r>
    </w:p>
    <w:p w14:paraId="47AF630A"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19" w:name="ArtL2_RC-2-A3.2"/>
      <w:bookmarkStart w:id="20" w:name="_Toc241676016"/>
      <w:bookmarkEnd w:id="19"/>
      <w:r>
        <w:rPr>
          <w:rFonts w:ascii="Century Gothic" w:eastAsia="Century Gothic" w:hAnsi="Century Gothic" w:cs="Century Gothic"/>
          <w:i w:val="0"/>
          <w:color w:val="000000"/>
          <w:sz w:val="24"/>
          <w:lang w:val="fr-FR"/>
        </w:rPr>
        <w:t>2.1 - Délai de validité des offres</w:t>
      </w:r>
      <w:bookmarkEnd w:id="20"/>
    </w:p>
    <w:p w14:paraId="47AF630B" w14:textId="77777777" w:rsidR="004D7A50" w:rsidRDefault="00E669DC">
      <w:pPr>
        <w:pStyle w:val="ParagrapheIndent2"/>
        <w:spacing w:after="240" w:line="270" w:lineRule="exact"/>
        <w:jc w:val="both"/>
        <w:rPr>
          <w:color w:val="000000"/>
          <w:lang w:val="fr-FR"/>
        </w:rPr>
      </w:pPr>
      <w:r>
        <w:rPr>
          <w:color w:val="000000"/>
          <w:lang w:val="fr-FR"/>
        </w:rPr>
        <w:t>Le délai de validité des offres est fixé à 120 jours à compter de la date limite de réception des offres. Ce délai pourra être prorogé, sous réserve de l'accord des soumissionnaires, jusqu'à la décision d'attribution.</w:t>
      </w:r>
    </w:p>
    <w:p w14:paraId="47AF630C"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21" w:name="ArtL2_RC-2-A3.3"/>
      <w:bookmarkStart w:id="22" w:name="_Toc241676017"/>
      <w:bookmarkEnd w:id="21"/>
      <w:r>
        <w:rPr>
          <w:rFonts w:ascii="Century Gothic" w:eastAsia="Century Gothic" w:hAnsi="Century Gothic" w:cs="Century Gothic"/>
          <w:i w:val="0"/>
          <w:color w:val="000000"/>
          <w:sz w:val="24"/>
          <w:lang w:val="fr-FR"/>
        </w:rPr>
        <w:t>2.2 - Forme juridique du groupement</w:t>
      </w:r>
      <w:bookmarkEnd w:id="22"/>
    </w:p>
    <w:p w14:paraId="47AF630D" w14:textId="77777777" w:rsidR="004D7A50" w:rsidRDefault="00E669DC">
      <w:pPr>
        <w:pStyle w:val="ParagrapheIndent2"/>
        <w:spacing w:line="270" w:lineRule="exact"/>
        <w:jc w:val="both"/>
        <w:rPr>
          <w:color w:val="000000"/>
          <w:lang w:val="fr-FR"/>
        </w:rPr>
      </w:pPr>
      <w:r>
        <w:rPr>
          <w:color w:val="000000"/>
          <w:lang w:val="fr-FR"/>
        </w:rPr>
        <w:t>Le pouvoir adjudicateur ne souhaite imposer aucune forme de groupement à l'attributaire de l'accord-cadre.</w:t>
      </w:r>
    </w:p>
    <w:p w14:paraId="47AF630E" w14:textId="77777777" w:rsidR="004D7A50" w:rsidRDefault="004D7A50">
      <w:pPr>
        <w:pStyle w:val="ParagrapheIndent2"/>
        <w:spacing w:line="270" w:lineRule="exact"/>
        <w:jc w:val="both"/>
        <w:rPr>
          <w:color w:val="000000"/>
          <w:lang w:val="fr-FR"/>
        </w:rPr>
      </w:pPr>
    </w:p>
    <w:p w14:paraId="47AF6311" w14:textId="43CDA7B3" w:rsidR="004D7A50" w:rsidRDefault="00E669DC" w:rsidP="006509EB">
      <w:pPr>
        <w:pStyle w:val="ParagrapheIndent2"/>
        <w:spacing w:line="270" w:lineRule="exact"/>
        <w:jc w:val="both"/>
        <w:rPr>
          <w:color w:val="000000"/>
          <w:lang w:val="fr-FR"/>
        </w:rPr>
      </w:pPr>
      <w:r>
        <w:rPr>
          <w:color w:val="000000"/>
          <w:lang w:val="fr-FR"/>
        </w:rPr>
        <w:t>En cas de groupement, la forme souhaitée par le pouvoir adjudicateur est le groupement conjoint avec mandataire solidaire.</w:t>
      </w:r>
    </w:p>
    <w:p w14:paraId="06194EDE" w14:textId="77777777" w:rsidR="006509EB" w:rsidRPr="006509EB" w:rsidRDefault="006509EB" w:rsidP="006509EB">
      <w:pPr>
        <w:rPr>
          <w:lang w:val="fr-FR"/>
        </w:rPr>
      </w:pPr>
    </w:p>
    <w:p w14:paraId="47AF6312" w14:textId="77777777" w:rsidR="004D7A50" w:rsidRDefault="00E669DC">
      <w:pPr>
        <w:pStyle w:val="ParagrapheIndent2"/>
        <w:spacing w:after="240" w:line="270" w:lineRule="exact"/>
        <w:jc w:val="both"/>
        <w:rPr>
          <w:color w:val="000000"/>
          <w:lang w:val="fr-FR"/>
        </w:rPr>
      </w:pPr>
      <w:r>
        <w:rPr>
          <w:color w:val="000000"/>
          <w:lang w:val="fr-FR"/>
        </w:rPr>
        <w:lastRenderedPageBreak/>
        <w:t>Il est interdit aux candidats de présenter plusieurs offres en agissant à la fois en qualité de candidats individuels ou en qualité de mandataire d’un groupement et de membres d'un ou plusieurs groupements, sous peine de voir chacune de leurs offres écartées.</w:t>
      </w:r>
    </w:p>
    <w:p w14:paraId="47AF6313"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23" w:name="ArtL2_RC-2-A3.5"/>
      <w:bookmarkStart w:id="24" w:name="_Toc241676018"/>
      <w:bookmarkEnd w:id="23"/>
      <w:r>
        <w:rPr>
          <w:rFonts w:ascii="Century Gothic" w:eastAsia="Century Gothic" w:hAnsi="Century Gothic" w:cs="Century Gothic"/>
          <w:i w:val="0"/>
          <w:color w:val="000000"/>
          <w:sz w:val="24"/>
          <w:lang w:val="fr-FR"/>
        </w:rPr>
        <w:t>2.3 - Variantes</w:t>
      </w:r>
      <w:bookmarkEnd w:id="24"/>
    </w:p>
    <w:p w14:paraId="3DBC5547" w14:textId="66F4778E" w:rsidR="00327C89" w:rsidRPr="004D15F8" w:rsidRDefault="00E669DC" w:rsidP="004D15F8">
      <w:pPr>
        <w:pStyle w:val="ParagrapheIndent2"/>
        <w:spacing w:line="270" w:lineRule="exact"/>
        <w:jc w:val="both"/>
        <w:rPr>
          <w:color w:val="000000"/>
          <w:lang w:val="fr-FR"/>
        </w:rPr>
      </w:pPr>
      <w:r>
        <w:rPr>
          <w:color w:val="000000"/>
          <w:lang w:val="fr-FR"/>
        </w:rPr>
        <w:t>Aucune variante n'est autorisée. La présentation de variante(s) non autorisée(s) n’entraînera pas le rejet de l’offre de base mais uniquement des variantes, sous réserve que l’offre de base soit clairement identifiée.</w:t>
      </w:r>
    </w:p>
    <w:p w14:paraId="5ED55345" w14:textId="77777777" w:rsidR="00327C89" w:rsidRDefault="00327C89" w:rsidP="00327C89">
      <w:pPr>
        <w:rPr>
          <w:lang w:val="fr-FR"/>
        </w:rPr>
      </w:pPr>
    </w:p>
    <w:p w14:paraId="51BE069D" w14:textId="77777777" w:rsidR="00327C89" w:rsidRDefault="00327C89" w:rsidP="00327C89">
      <w:pPr>
        <w:pStyle w:val="Titre2"/>
        <w:ind w:left="280"/>
        <w:jc w:val="both"/>
        <w:rPr>
          <w:rFonts w:ascii="Century Gothic" w:eastAsia="Century Gothic" w:hAnsi="Century Gothic" w:cs="Century Gothic"/>
          <w:i w:val="0"/>
          <w:color w:val="000000"/>
          <w:sz w:val="24"/>
          <w:lang w:val="fr-FR"/>
        </w:rPr>
      </w:pPr>
      <w:bookmarkStart w:id="25" w:name="_Toc256000010"/>
      <w:bookmarkStart w:id="26" w:name="_Toc241676019"/>
      <w:r>
        <w:rPr>
          <w:rFonts w:ascii="Century Gothic" w:eastAsia="Century Gothic" w:hAnsi="Century Gothic" w:cs="Century Gothic"/>
          <w:i w:val="0"/>
          <w:color w:val="000000"/>
          <w:sz w:val="24"/>
          <w:lang w:val="fr-FR"/>
        </w:rPr>
        <w:t>2.4 - Prestations supplémentaires éventuelles</w:t>
      </w:r>
      <w:bookmarkEnd w:id="25"/>
      <w:bookmarkEnd w:id="26"/>
    </w:p>
    <w:p w14:paraId="021095D9" w14:textId="197D92E1" w:rsidR="00327C89" w:rsidRDefault="00327C89" w:rsidP="00327C89">
      <w:pPr>
        <w:pStyle w:val="ParagrapheIndent2"/>
        <w:spacing w:line="270" w:lineRule="exact"/>
        <w:jc w:val="both"/>
        <w:rPr>
          <w:color w:val="000000"/>
          <w:lang w:val="fr-FR"/>
        </w:rPr>
      </w:pPr>
      <w:r>
        <w:rPr>
          <w:color w:val="000000"/>
          <w:lang w:val="fr-FR"/>
        </w:rPr>
        <w:t>Les candidats peuvent faire une proposition</w:t>
      </w:r>
      <w:r w:rsidR="001A566F">
        <w:rPr>
          <w:color w:val="000000"/>
          <w:lang w:val="fr-FR"/>
        </w:rPr>
        <w:t>*</w:t>
      </w:r>
      <w:r>
        <w:rPr>
          <w:color w:val="000000"/>
          <w:lang w:val="fr-FR"/>
        </w:rPr>
        <w:t xml:space="preserve"> pour la prestation supplémentaire</w:t>
      </w:r>
      <w:r w:rsidR="00A83F42">
        <w:rPr>
          <w:color w:val="000000"/>
          <w:lang w:val="fr-FR"/>
        </w:rPr>
        <w:t xml:space="preserve"> </w:t>
      </w:r>
      <w:r>
        <w:rPr>
          <w:color w:val="000000"/>
          <w:lang w:val="fr-FR"/>
        </w:rPr>
        <w:t>éventuelle suivante :</w:t>
      </w:r>
    </w:p>
    <w:p w14:paraId="51514D05" w14:textId="77777777" w:rsidR="00327C89" w:rsidRDefault="00327C89" w:rsidP="00327C89">
      <w:pPr>
        <w:pStyle w:val="ParagrapheIndent2"/>
        <w:spacing w:line="270" w:lineRule="exact"/>
        <w:jc w:val="both"/>
        <w:rPr>
          <w:color w:val="000000"/>
          <w:lang w:val="fr-FR"/>
        </w:rPr>
      </w:pPr>
    </w:p>
    <w:tbl>
      <w:tblPr>
        <w:tblW w:w="0" w:type="auto"/>
        <w:tblInd w:w="500" w:type="dxa"/>
        <w:tblLayout w:type="fixed"/>
        <w:tblLook w:val="04A0" w:firstRow="1" w:lastRow="0" w:firstColumn="1" w:lastColumn="0" w:noHBand="0" w:noVBand="1"/>
      </w:tblPr>
      <w:tblGrid>
        <w:gridCol w:w="900"/>
        <w:gridCol w:w="1013"/>
        <w:gridCol w:w="5587"/>
      </w:tblGrid>
      <w:tr w:rsidR="00327C89" w14:paraId="38F4F8BC" w14:textId="77777777" w:rsidTr="00F1444D">
        <w:trPr>
          <w:trHeight w:val="292"/>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783FD6" w14:textId="42A9B9E9" w:rsidR="00327C89" w:rsidRDefault="00F1444D" w:rsidP="00007AB3">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w:t>
            </w:r>
          </w:p>
        </w:tc>
        <w:tc>
          <w:tcPr>
            <w:tcW w:w="101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35C930" w14:textId="63359F22" w:rsidR="00327C89" w:rsidRDefault="00F1444D" w:rsidP="00007AB3">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w:t>
            </w:r>
          </w:p>
        </w:tc>
        <w:tc>
          <w:tcPr>
            <w:tcW w:w="558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74051C" w14:textId="0E6D310C" w:rsidR="00327C89" w:rsidRDefault="00F1444D" w:rsidP="00007AB3">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w:t>
            </w:r>
          </w:p>
        </w:tc>
      </w:tr>
      <w:tr w:rsidR="00327C89" w14:paraId="0FD24F8A" w14:textId="77777777" w:rsidTr="00F1444D">
        <w:trPr>
          <w:trHeight w:val="940"/>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636A6" w14:textId="6040FD6C" w:rsidR="00327C89" w:rsidRDefault="00327C89" w:rsidP="00B9673E">
            <w:pPr>
              <w:spacing w:before="240" w:after="1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10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AB3993" w14:textId="3AF808B2" w:rsidR="00327C89" w:rsidRDefault="00F1444D" w:rsidP="00B9673E">
            <w:pPr>
              <w:spacing w:before="240" w:line="270" w:lineRule="exact"/>
              <w:ind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PSE </w:t>
            </w:r>
            <w:r w:rsidR="00B9673E">
              <w:rPr>
                <w:rFonts w:ascii="Century Gothic" w:eastAsia="Century Gothic" w:hAnsi="Century Gothic" w:cs="Century Gothic"/>
                <w:color w:val="000000"/>
                <w:sz w:val="22"/>
                <w:lang w:val="fr-FR"/>
              </w:rPr>
              <w:t>02</w:t>
            </w:r>
          </w:p>
        </w:tc>
        <w:tc>
          <w:tcPr>
            <w:tcW w:w="55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CC89E1" w14:textId="3FFD1A59" w:rsidR="00327C89" w:rsidRDefault="00F1444D" w:rsidP="00B9673E">
            <w:pPr>
              <w:spacing w:before="240" w:after="140"/>
              <w:ind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Pneus rechapés pour les véhicules légers et utilitaires</w:t>
            </w:r>
          </w:p>
        </w:tc>
      </w:tr>
    </w:tbl>
    <w:p w14:paraId="4835C646" w14:textId="3A057FEA" w:rsidR="00327C89" w:rsidRPr="00695736" w:rsidRDefault="001A566F" w:rsidP="00327C89">
      <w:pPr>
        <w:rPr>
          <w:rFonts w:ascii="Century Gothic" w:eastAsia="Century Gothic" w:hAnsi="Century Gothic" w:cs="Century Gothic"/>
          <w:color w:val="000000"/>
          <w:sz w:val="22"/>
          <w:lang w:val="fr-FR"/>
        </w:rPr>
      </w:pPr>
      <w:r w:rsidRPr="00695736">
        <w:rPr>
          <w:rFonts w:ascii="Century Gothic" w:eastAsia="Century Gothic" w:hAnsi="Century Gothic" w:cs="Century Gothic"/>
          <w:color w:val="000000"/>
          <w:sz w:val="22"/>
          <w:lang w:val="fr-FR"/>
        </w:rPr>
        <w:t>*</w:t>
      </w:r>
      <w:r w:rsidR="00695736" w:rsidRPr="00695736">
        <w:rPr>
          <w:rFonts w:ascii="Century Gothic" w:eastAsia="Century Gothic" w:hAnsi="Century Gothic" w:cs="Century Gothic"/>
          <w:color w:val="000000"/>
          <w:sz w:val="22"/>
          <w:lang w:val="fr-FR"/>
        </w:rPr>
        <w:t>des colonnes sont prévues à cet effet dans le BPU DQE</w:t>
      </w:r>
    </w:p>
    <w:p w14:paraId="625D754D" w14:textId="0A5C7EEA" w:rsidR="001C03D5" w:rsidRPr="001C03D5" w:rsidRDefault="001C03D5" w:rsidP="001C03D5">
      <w:pPr>
        <w:rPr>
          <w:lang w:val="fr-FR"/>
        </w:rPr>
      </w:pPr>
    </w:p>
    <w:p w14:paraId="47AF6316" w14:textId="67ADA145" w:rsidR="004D7A50" w:rsidRDefault="00E669DC">
      <w:pPr>
        <w:pStyle w:val="Titre2"/>
        <w:ind w:left="280"/>
        <w:jc w:val="both"/>
        <w:rPr>
          <w:rFonts w:ascii="Century Gothic" w:eastAsia="Century Gothic" w:hAnsi="Century Gothic" w:cs="Century Gothic"/>
          <w:i w:val="0"/>
          <w:color w:val="000000"/>
          <w:sz w:val="24"/>
          <w:lang w:val="fr-FR"/>
        </w:rPr>
      </w:pPr>
      <w:bookmarkStart w:id="27" w:name="ArtL2_RC-2-A3.9"/>
      <w:bookmarkStart w:id="28" w:name="_Toc241676020"/>
      <w:bookmarkEnd w:id="27"/>
      <w:r>
        <w:rPr>
          <w:rFonts w:ascii="Century Gothic" w:eastAsia="Century Gothic" w:hAnsi="Century Gothic" w:cs="Century Gothic"/>
          <w:i w:val="0"/>
          <w:color w:val="000000"/>
          <w:sz w:val="24"/>
          <w:lang w:val="fr-FR"/>
        </w:rPr>
        <w:t>2.</w:t>
      </w:r>
      <w:r w:rsidR="00B9673E">
        <w:rPr>
          <w:rFonts w:ascii="Century Gothic" w:eastAsia="Century Gothic" w:hAnsi="Century Gothic" w:cs="Century Gothic"/>
          <w:i w:val="0"/>
          <w:color w:val="000000"/>
          <w:sz w:val="24"/>
          <w:lang w:val="fr-FR"/>
        </w:rPr>
        <w:t>5</w:t>
      </w:r>
      <w:r>
        <w:rPr>
          <w:rFonts w:ascii="Century Gothic" w:eastAsia="Century Gothic" w:hAnsi="Century Gothic" w:cs="Century Gothic"/>
          <w:i w:val="0"/>
          <w:color w:val="000000"/>
          <w:sz w:val="24"/>
          <w:lang w:val="fr-FR"/>
        </w:rPr>
        <w:t xml:space="preserve"> - Développement durable</w:t>
      </w:r>
      <w:bookmarkEnd w:id="28"/>
    </w:p>
    <w:p w14:paraId="47AF6317" w14:textId="67C3D991" w:rsidR="004D7A50" w:rsidRDefault="00E669DC">
      <w:pPr>
        <w:pStyle w:val="ParagrapheIndent2"/>
        <w:spacing w:line="270" w:lineRule="exact"/>
        <w:jc w:val="both"/>
        <w:rPr>
          <w:color w:val="000000"/>
          <w:lang w:val="fr-FR"/>
        </w:rPr>
      </w:pPr>
      <w:r>
        <w:rPr>
          <w:color w:val="000000"/>
          <w:lang w:val="fr-FR"/>
        </w:rPr>
        <w:t xml:space="preserve">Cette consultation comporte des conditions d'exécution </w:t>
      </w:r>
      <w:r w:rsidR="008D1C70">
        <w:rPr>
          <w:color w:val="000000"/>
          <w:lang w:val="fr-FR"/>
        </w:rPr>
        <w:t xml:space="preserve">à caractère social </w:t>
      </w:r>
      <w:r w:rsidR="0017101F">
        <w:rPr>
          <w:color w:val="000000"/>
          <w:lang w:val="fr-FR"/>
        </w:rPr>
        <w:t xml:space="preserve">(lot 2) </w:t>
      </w:r>
      <w:r w:rsidR="008D1C70">
        <w:rPr>
          <w:color w:val="000000"/>
          <w:lang w:val="fr-FR"/>
        </w:rPr>
        <w:t xml:space="preserve">et </w:t>
      </w:r>
      <w:r>
        <w:rPr>
          <w:color w:val="000000"/>
          <w:lang w:val="fr-FR"/>
        </w:rPr>
        <w:t xml:space="preserve">à caractère environnemental </w:t>
      </w:r>
      <w:r w:rsidR="0017101F">
        <w:rPr>
          <w:color w:val="000000"/>
          <w:lang w:val="fr-FR"/>
        </w:rPr>
        <w:t xml:space="preserve">(pour tous les lots) </w:t>
      </w:r>
      <w:r>
        <w:rPr>
          <w:color w:val="000000"/>
          <w:lang w:val="fr-FR"/>
        </w:rPr>
        <w:t>dont le détail est indiqué dans le CC</w:t>
      </w:r>
      <w:r w:rsidR="006A544D">
        <w:rPr>
          <w:color w:val="000000"/>
          <w:lang w:val="fr-FR"/>
        </w:rPr>
        <w:t xml:space="preserve">TP </w:t>
      </w:r>
      <w:r w:rsidR="002F20F0">
        <w:rPr>
          <w:color w:val="000000"/>
          <w:lang w:val="fr-FR"/>
        </w:rPr>
        <w:t xml:space="preserve">aux </w:t>
      </w:r>
      <w:r w:rsidR="006A544D">
        <w:rPr>
          <w:color w:val="000000"/>
          <w:lang w:val="fr-FR"/>
        </w:rPr>
        <w:t>article</w:t>
      </w:r>
      <w:r w:rsidR="002F20F0">
        <w:rPr>
          <w:color w:val="000000"/>
          <w:lang w:val="fr-FR"/>
        </w:rPr>
        <w:t>s</w:t>
      </w:r>
      <w:r w:rsidR="006A544D">
        <w:rPr>
          <w:color w:val="000000"/>
          <w:lang w:val="fr-FR"/>
        </w:rPr>
        <w:t xml:space="preserve"> 2.2</w:t>
      </w:r>
      <w:r>
        <w:rPr>
          <w:color w:val="000000"/>
          <w:lang w:val="fr-FR"/>
        </w:rPr>
        <w:t>.</w:t>
      </w:r>
      <w:r w:rsidR="002F20F0">
        <w:rPr>
          <w:color w:val="000000"/>
          <w:lang w:val="fr-FR"/>
        </w:rPr>
        <w:t xml:space="preserve"> </w:t>
      </w:r>
      <w:proofErr w:type="gramStart"/>
      <w:r w:rsidR="002F20F0">
        <w:rPr>
          <w:color w:val="000000"/>
          <w:lang w:val="fr-FR"/>
        </w:rPr>
        <w:t>et</w:t>
      </w:r>
      <w:proofErr w:type="gramEnd"/>
      <w:r w:rsidR="002F20F0">
        <w:rPr>
          <w:color w:val="000000"/>
          <w:lang w:val="fr-FR"/>
        </w:rPr>
        <w:t xml:space="preserve"> 6.3.</w:t>
      </w:r>
      <w:r>
        <w:rPr>
          <w:color w:val="000000"/>
          <w:lang w:val="fr-FR"/>
        </w:rPr>
        <w:t xml:space="preserve"> Le respect de ces dispositions est une condition de la conformité de l'offre. Une offre comportant des réserves ou ne respectant pas ces conditions d'exécution particulières sera déclarée irrégulière au motif du non-respect du cahier des charges.</w:t>
      </w:r>
    </w:p>
    <w:p w14:paraId="47AF6318" w14:textId="77777777" w:rsidR="004D7A50" w:rsidRDefault="004D7A50">
      <w:pPr>
        <w:pStyle w:val="ParagrapheIndent2"/>
        <w:spacing w:line="270" w:lineRule="exact"/>
        <w:jc w:val="both"/>
        <w:rPr>
          <w:color w:val="000000"/>
          <w:lang w:val="fr-FR"/>
        </w:rPr>
      </w:pPr>
    </w:p>
    <w:p w14:paraId="47AF6319" w14:textId="77777777" w:rsidR="004D7A50" w:rsidRDefault="00E669DC">
      <w:pPr>
        <w:pStyle w:val="ParagrapheIndent2"/>
        <w:spacing w:after="240" w:line="270"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1FDAFA89" w14:textId="72507A6C" w:rsidR="007D405C" w:rsidRDefault="007D405C" w:rsidP="007D405C">
      <w:pPr>
        <w:jc w:val="both"/>
        <w:rPr>
          <w:rFonts w:ascii="Century Gothic" w:hAnsi="Century Gothic"/>
          <w:sz w:val="22"/>
          <w:szCs w:val="22"/>
          <w:lang w:val="fr-FR"/>
        </w:rPr>
      </w:pPr>
      <w:r>
        <w:rPr>
          <w:rFonts w:ascii="Century Gothic" w:hAnsi="Century Gothic"/>
          <w:sz w:val="22"/>
          <w:szCs w:val="22"/>
          <w:lang w:val="fr-FR"/>
        </w:rPr>
        <w:t>Pour l’ensemble des lots, c</w:t>
      </w:r>
      <w:r w:rsidRPr="00F962F5">
        <w:rPr>
          <w:rFonts w:ascii="Century Gothic" w:hAnsi="Century Gothic"/>
          <w:sz w:val="22"/>
          <w:szCs w:val="22"/>
          <w:lang w:val="fr-FR"/>
        </w:rPr>
        <w:t>ette consultation comporte</w:t>
      </w:r>
      <w:r>
        <w:rPr>
          <w:rFonts w:ascii="Century Gothic" w:hAnsi="Century Gothic"/>
          <w:sz w:val="22"/>
          <w:szCs w:val="22"/>
          <w:lang w:val="fr-FR"/>
        </w:rPr>
        <w:t xml:space="preserve"> également </w:t>
      </w:r>
      <w:r w:rsidRPr="00F962F5">
        <w:rPr>
          <w:rFonts w:ascii="Century Gothic" w:hAnsi="Century Gothic"/>
          <w:sz w:val="22"/>
          <w:szCs w:val="22"/>
          <w:lang w:val="fr-FR"/>
        </w:rPr>
        <w:t>:</w:t>
      </w:r>
      <w:r>
        <w:rPr>
          <w:rFonts w:ascii="Century Gothic" w:hAnsi="Century Gothic"/>
          <w:sz w:val="22"/>
          <w:szCs w:val="22"/>
          <w:lang w:val="fr-FR"/>
        </w:rPr>
        <w:t xml:space="preserve"> un</w:t>
      </w:r>
      <w:r w:rsidRPr="00F962F5">
        <w:rPr>
          <w:rFonts w:ascii="Century Gothic" w:hAnsi="Century Gothic"/>
          <w:sz w:val="22"/>
          <w:szCs w:val="22"/>
          <w:lang w:val="fr-FR"/>
        </w:rPr>
        <w:t xml:space="preserve"> critère de</w:t>
      </w:r>
      <w:r>
        <w:rPr>
          <w:rFonts w:ascii="Century Gothic" w:hAnsi="Century Gothic"/>
          <w:sz w:val="22"/>
          <w:szCs w:val="22"/>
          <w:lang w:val="fr-FR"/>
        </w:rPr>
        <w:t xml:space="preserve"> valeur</w:t>
      </w:r>
      <w:r w:rsidRPr="00F962F5">
        <w:rPr>
          <w:rFonts w:ascii="Century Gothic" w:hAnsi="Century Gothic"/>
          <w:sz w:val="22"/>
          <w:szCs w:val="22"/>
          <w:lang w:val="fr-FR"/>
        </w:rPr>
        <w:t xml:space="preserve"> environnementale.</w:t>
      </w:r>
    </w:p>
    <w:p w14:paraId="7CF360F1" w14:textId="77777777" w:rsidR="007D405C" w:rsidRPr="007D405C" w:rsidRDefault="007D405C" w:rsidP="007D405C">
      <w:pPr>
        <w:rPr>
          <w:lang w:val="fr-FR"/>
        </w:rPr>
      </w:pPr>
    </w:p>
    <w:p w14:paraId="47AF631A"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29" w:name="ArtL1_RC-2-A5"/>
      <w:bookmarkStart w:id="30" w:name="_Toc241676021"/>
      <w:bookmarkEnd w:id="29"/>
      <w:r>
        <w:rPr>
          <w:rFonts w:ascii="Century Gothic" w:eastAsia="Century Gothic" w:hAnsi="Century Gothic" w:cs="Century Gothic"/>
          <w:color w:val="FFFFFF"/>
          <w:sz w:val="28"/>
          <w:lang w:val="fr-FR"/>
        </w:rPr>
        <w:t>3 - Conditions relatives au contrat</w:t>
      </w:r>
      <w:bookmarkEnd w:id="30"/>
    </w:p>
    <w:p w14:paraId="47AF631B" w14:textId="77777777" w:rsidR="004D7A50" w:rsidRDefault="00E669DC">
      <w:pPr>
        <w:spacing w:line="60" w:lineRule="exact"/>
        <w:rPr>
          <w:sz w:val="6"/>
        </w:rPr>
      </w:pPr>
      <w:r>
        <w:t xml:space="preserve"> </w:t>
      </w:r>
    </w:p>
    <w:p w14:paraId="47AF631C"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31" w:name="ArtL2_RC-2-A5.1"/>
      <w:bookmarkStart w:id="32" w:name="_Toc241676022"/>
      <w:bookmarkEnd w:id="31"/>
      <w:r>
        <w:rPr>
          <w:rFonts w:ascii="Century Gothic" w:eastAsia="Century Gothic" w:hAnsi="Century Gothic" w:cs="Century Gothic"/>
          <w:i w:val="0"/>
          <w:color w:val="000000"/>
          <w:sz w:val="24"/>
          <w:lang w:val="fr-FR"/>
        </w:rPr>
        <w:t>3.1 - Durée du contrat ou délai d'exécution</w:t>
      </w:r>
      <w:bookmarkEnd w:id="32"/>
    </w:p>
    <w:p w14:paraId="117E4C35" w14:textId="77777777" w:rsidR="006A544D" w:rsidRDefault="00E669DC">
      <w:pPr>
        <w:pStyle w:val="ParagrapheIndent2"/>
        <w:jc w:val="both"/>
        <w:rPr>
          <w:color w:val="000000"/>
          <w:lang w:val="fr-FR"/>
        </w:rPr>
      </w:pPr>
      <w:r>
        <w:rPr>
          <w:color w:val="000000"/>
          <w:lang w:val="fr-FR"/>
        </w:rPr>
        <w:t>La durée de la période initiale est fixée au CCAP.</w:t>
      </w:r>
    </w:p>
    <w:p w14:paraId="2E56EA89" w14:textId="77777777" w:rsidR="001C03D5" w:rsidRDefault="001C03D5">
      <w:pPr>
        <w:pStyle w:val="ParagrapheIndent2"/>
        <w:jc w:val="both"/>
        <w:rPr>
          <w:color w:val="000000"/>
          <w:lang w:val="fr-FR"/>
        </w:rPr>
      </w:pPr>
    </w:p>
    <w:p w14:paraId="47AF631E"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33" w:name="ArtL2_RC-2-A5.2"/>
      <w:bookmarkStart w:id="34" w:name="_Toc241676023"/>
      <w:bookmarkEnd w:id="33"/>
      <w:r>
        <w:rPr>
          <w:rFonts w:ascii="Century Gothic" w:eastAsia="Century Gothic" w:hAnsi="Century Gothic" w:cs="Century Gothic"/>
          <w:i w:val="0"/>
          <w:color w:val="000000"/>
          <w:sz w:val="24"/>
          <w:lang w:val="fr-FR"/>
        </w:rPr>
        <w:t>3.2 - Modalités essentielles de financement et de paiement</w:t>
      </w:r>
      <w:bookmarkEnd w:id="34"/>
    </w:p>
    <w:p w14:paraId="44EE0CE5" w14:textId="77777777" w:rsidR="00824C20" w:rsidRDefault="005F4A89">
      <w:pPr>
        <w:pStyle w:val="ParagrapheIndent2"/>
        <w:spacing w:after="240" w:line="270" w:lineRule="exact"/>
        <w:jc w:val="both"/>
        <w:rPr>
          <w:color w:val="000000"/>
          <w:lang w:val="fr-FR"/>
        </w:rPr>
      </w:pPr>
      <w:r>
        <w:rPr>
          <w:color w:val="000000"/>
          <w:lang w:val="fr-FR"/>
        </w:rPr>
        <w:t xml:space="preserve">Les prestations seront financées selon les modalités suivantes : </w:t>
      </w:r>
    </w:p>
    <w:p w14:paraId="16C29184" w14:textId="3F4E9670" w:rsidR="005F4A89" w:rsidRDefault="005F4A89">
      <w:pPr>
        <w:pStyle w:val="ParagrapheIndent2"/>
        <w:spacing w:after="240" w:line="270" w:lineRule="exact"/>
        <w:jc w:val="both"/>
        <w:rPr>
          <w:color w:val="000000"/>
          <w:lang w:val="fr-FR"/>
        </w:rPr>
      </w:pPr>
      <w:r>
        <w:rPr>
          <w:color w:val="000000"/>
          <w:lang w:val="fr-FR"/>
        </w:rPr>
        <w:t>Mode de paiement : par mandat administratif. Le titulaire du marché pourra céder ou nantir les créances résultant du marché. Mode de financement : Les dépenses effectuées au titre du présent marché seront imputées sur le budget de fonctionnement du pouvoir adjudicateur.</w:t>
      </w:r>
    </w:p>
    <w:p w14:paraId="47AF631F" w14:textId="59150736" w:rsidR="004D7A50" w:rsidRDefault="00E669DC">
      <w:pPr>
        <w:pStyle w:val="ParagrapheIndent2"/>
        <w:spacing w:after="240" w:line="270"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6999A31B" w14:textId="0AF184BD" w:rsidR="00824C20" w:rsidRPr="00C179DD" w:rsidRDefault="00E669DC" w:rsidP="00C179DD">
      <w:pPr>
        <w:pStyle w:val="ParagrapheIndent2"/>
        <w:spacing w:after="240" w:line="270" w:lineRule="exact"/>
        <w:jc w:val="both"/>
        <w:rPr>
          <w:color w:val="000000"/>
          <w:lang w:val="fr-FR"/>
        </w:rPr>
      </w:pPr>
      <w:r>
        <w:rPr>
          <w:color w:val="000000"/>
          <w:lang w:val="fr-FR"/>
        </w:rPr>
        <w:lastRenderedPageBreak/>
        <w:t>L'attention des candidats est attirée sur le fait que s'ils veulent renoncer aux bénéfices de l'avance prévue au CCAP, ils doivent le préciser à l'acte d'engagement.</w:t>
      </w:r>
      <w:bookmarkStart w:id="35" w:name="ArtL2_RC-2-A5.4"/>
      <w:bookmarkEnd w:id="35"/>
    </w:p>
    <w:p w14:paraId="47AF6325"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36" w:name="ArtL1_RC-2-A6"/>
      <w:bookmarkStart w:id="37" w:name="_Toc241676024"/>
      <w:bookmarkEnd w:id="36"/>
      <w:r>
        <w:rPr>
          <w:rFonts w:ascii="Century Gothic" w:eastAsia="Century Gothic" w:hAnsi="Century Gothic" w:cs="Century Gothic"/>
          <w:color w:val="FFFFFF"/>
          <w:sz w:val="28"/>
          <w:lang w:val="fr-FR"/>
        </w:rPr>
        <w:t>4 - Contenu du dossier de consultation</w:t>
      </w:r>
      <w:bookmarkEnd w:id="37"/>
    </w:p>
    <w:p w14:paraId="47AF6326" w14:textId="77777777" w:rsidR="004D7A50" w:rsidRDefault="00E669DC">
      <w:pPr>
        <w:spacing w:line="60" w:lineRule="exact"/>
        <w:rPr>
          <w:sz w:val="6"/>
        </w:rPr>
      </w:pPr>
      <w:r>
        <w:t xml:space="preserve"> </w:t>
      </w:r>
    </w:p>
    <w:p w14:paraId="47AF6327" w14:textId="77777777" w:rsidR="004D7A50" w:rsidRDefault="00E669DC">
      <w:pPr>
        <w:pStyle w:val="ParagrapheIndent1"/>
        <w:spacing w:line="270" w:lineRule="exact"/>
        <w:jc w:val="both"/>
        <w:rPr>
          <w:color w:val="000000"/>
          <w:lang w:val="fr-FR"/>
        </w:rPr>
      </w:pPr>
      <w:r>
        <w:rPr>
          <w:color w:val="000000"/>
          <w:lang w:val="fr-FR"/>
        </w:rPr>
        <w:t>Le dossier de consultation des entreprises (DCE) contient les pièces suivantes :</w:t>
      </w:r>
    </w:p>
    <w:p w14:paraId="47AF6328" w14:textId="5969B8B1" w:rsidR="004D7A50" w:rsidRDefault="00E669DC">
      <w:pPr>
        <w:pStyle w:val="ParagrapheIndent1"/>
        <w:spacing w:line="270" w:lineRule="exact"/>
        <w:jc w:val="both"/>
        <w:rPr>
          <w:color w:val="000000"/>
          <w:lang w:val="fr-FR"/>
        </w:rPr>
      </w:pPr>
      <w:r>
        <w:rPr>
          <w:color w:val="000000"/>
          <w:lang w:val="fr-FR"/>
        </w:rPr>
        <w:t>- L'acte d'engagement (AE) et s</w:t>
      </w:r>
      <w:r w:rsidR="005216B1">
        <w:rPr>
          <w:color w:val="000000"/>
          <w:lang w:val="fr-FR"/>
        </w:rPr>
        <w:t xml:space="preserve">on annexe par lot </w:t>
      </w:r>
    </w:p>
    <w:p w14:paraId="47AF6329" w14:textId="77777777" w:rsidR="004D7A50" w:rsidRDefault="00E669DC">
      <w:pPr>
        <w:pStyle w:val="ParagrapheIndent1"/>
        <w:spacing w:line="270" w:lineRule="exact"/>
        <w:jc w:val="both"/>
        <w:rPr>
          <w:color w:val="000000"/>
          <w:lang w:val="fr-FR"/>
        </w:rPr>
      </w:pPr>
      <w:r>
        <w:rPr>
          <w:color w:val="000000"/>
          <w:lang w:val="fr-FR"/>
        </w:rPr>
        <w:t>- Le règlement de la consultation (RC)</w:t>
      </w:r>
    </w:p>
    <w:p w14:paraId="47AF632A" w14:textId="77777777" w:rsidR="004D7A50" w:rsidRDefault="00E669DC">
      <w:pPr>
        <w:pStyle w:val="ParagrapheIndent1"/>
        <w:spacing w:line="270" w:lineRule="exact"/>
        <w:jc w:val="both"/>
        <w:rPr>
          <w:color w:val="000000"/>
          <w:lang w:val="fr-FR"/>
        </w:rPr>
      </w:pPr>
      <w:r>
        <w:rPr>
          <w:color w:val="000000"/>
          <w:lang w:val="fr-FR"/>
        </w:rPr>
        <w:t>- Le cahier des clauses administratives particulières (CCAP)</w:t>
      </w:r>
    </w:p>
    <w:p w14:paraId="47AF632B" w14:textId="79C723DF" w:rsidR="004D7A50" w:rsidRDefault="00E669DC">
      <w:pPr>
        <w:pStyle w:val="ParagrapheIndent1"/>
        <w:spacing w:line="270" w:lineRule="exact"/>
        <w:jc w:val="both"/>
        <w:rPr>
          <w:color w:val="000000"/>
          <w:lang w:val="fr-FR"/>
        </w:rPr>
      </w:pPr>
      <w:r>
        <w:rPr>
          <w:color w:val="000000"/>
          <w:lang w:val="fr-FR"/>
        </w:rPr>
        <w:t xml:space="preserve">- Le cahier des clauses techniques particulières (CCTP) </w:t>
      </w:r>
    </w:p>
    <w:p w14:paraId="47AF632D" w14:textId="439345C2" w:rsidR="004D7A50" w:rsidRDefault="00E669DC" w:rsidP="00EC738B">
      <w:pPr>
        <w:pStyle w:val="ParagrapheIndent1"/>
        <w:spacing w:line="270" w:lineRule="exact"/>
        <w:jc w:val="both"/>
        <w:rPr>
          <w:color w:val="000000"/>
          <w:lang w:val="fr-FR"/>
        </w:rPr>
      </w:pPr>
      <w:r>
        <w:rPr>
          <w:color w:val="000000"/>
          <w:lang w:val="fr-FR"/>
        </w:rPr>
        <w:t>- Le bordereau des prix unitaires</w:t>
      </w:r>
      <w:r w:rsidR="00E74384">
        <w:rPr>
          <w:color w:val="000000"/>
          <w:lang w:val="fr-FR"/>
        </w:rPr>
        <w:t xml:space="preserve"> </w:t>
      </w:r>
      <w:r w:rsidR="00EC738B">
        <w:rPr>
          <w:color w:val="000000"/>
          <w:lang w:val="fr-FR"/>
        </w:rPr>
        <w:t xml:space="preserve">valant détail quantitatif estimatif </w:t>
      </w:r>
      <w:r>
        <w:rPr>
          <w:color w:val="000000"/>
          <w:lang w:val="fr-FR"/>
        </w:rPr>
        <w:t>(</w:t>
      </w:r>
      <w:r w:rsidR="00E83886">
        <w:rPr>
          <w:color w:val="000000"/>
          <w:lang w:val="fr-FR"/>
        </w:rPr>
        <w:t>BPU-</w:t>
      </w:r>
      <w:r w:rsidR="00EC738B">
        <w:rPr>
          <w:color w:val="000000"/>
          <w:lang w:val="fr-FR"/>
        </w:rPr>
        <w:t>DQE</w:t>
      </w:r>
      <w:r>
        <w:rPr>
          <w:color w:val="000000"/>
          <w:lang w:val="fr-FR"/>
        </w:rPr>
        <w:t>)</w:t>
      </w:r>
      <w:r w:rsidR="005216B1">
        <w:rPr>
          <w:color w:val="000000"/>
          <w:lang w:val="fr-FR"/>
        </w:rPr>
        <w:t xml:space="preserve"> </w:t>
      </w:r>
      <w:r w:rsidR="00EC738B">
        <w:rPr>
          <w:color w:val="000000"/>
          <w:lang w:val="fr-FR"/>
        </w:rPr>
        <w:t>par lot</w:t>
      </w:r>
    </w:p>
    <w:p w14:paraId="47AF632F" w14:textId="38172AEF" w:rsidR="004D7A50" w:rsidRDefault="00E669DC">
      <w:pPr>
        <w:pStyle w:val="ParagrapheIndent1"/>
        <w:spacing w:line="270" w:lineRule="exact"/>
        <w:jc w:val="both"/>
        <w:rPr>
          <w:color w:val="000000"/>
          <w:lang w:val="fr-FR"/>
        </w:rPr>
      </w:pPr>
      <w:r>
        <w:rPr>
          <w:color w:val="000000"/>
          <w:lang w:val="fr-FR"/>
        </w:rPr>
        <w:t xml:space="preserve">- Le cadre de mémoire </w:t>
      </w:r>
      <w:r w:rsidR="007B50B0">
        <w:rPr>
          <w:color w:val="000000"/>
          <w:lang w:val="fr-FR"/>
        </w:rPr>
        <w:t xml:space="preserve">par lot </w:t>
      </w:r>
    </w:p>
    <w:p w14:paraId="47AF6330" w14:textId="77777777" w:rsidR="004D7A50" w:rsidRDefault="00E669DC">
      <w:pPr>
        <w:pStyle w:val="ParagrapheIndent1"/>
        <w:spacing w:line="270" w:lineRule="exact"/>
        <w:jc w:val="both"/>
        <w:rPr>
          <w:color w:val="000000"/>
          <w:lang w:val="fr-FR"/>
        </w:rPr>
      </w:pPr>
      <w:r>
        <w:rPr>
          <w:color w:val="000000"/>
          <w:lang w:val="fr-FR"/>
        </w:rPr>
        <w:t>- L'annexe relative à la signature électronique</w:t>
      </w:r>
    </w:p>
    <w:p w14:paraId="33A0DAD9" w14:textId="469D2321" w:rsidR="0017101F" w:rsidRPr="00C179DD" w:rsidRDefault="00C7753C" w:rsidP="00C179DD">
      <w:pPr>
        <w:pStyle w:val="ParagrapheIndent1"/>
        <w:spacing w:line="270" w:lineRule="exact"/>
        <w:jc w:val="both"/>
        <w:rPr>
          <w:color w:val="000000"/>
          <w:lang w:val="fr-FR"/>
        </w:rPr>
      </w:pPr>
      <w:r>
        <w:rPr>
          <w:color w:val="000000"/>
          <w:lang w:val="fr-FR"/>
        </w:rPr>
        <w:t>- L'attestation sur l'honneur relative à l'interdiction d'attribuer ou d'exécuter des contrats de la commande publique avec la Russie</w:t>
      </w:r>
    </w:p>
    <w:p w14:paraId="47AF6332" w14:textId="096E1910" w:rsidR="004D7A50" w:rsidRDefault="00E669DC" w:rsidP="001C03D5">
      <w:pPr>
        <w:pStyle w:val="ParagrapheIndent1"/>
        <w:spacing w:line="270" w:lineRule="exact"/>
        <w:jc w:val="both"/>
        <w:rPr>
          <w:color w:val="000000"/>
          <w:lang w:val="fr-FR"/>
        </w:rPr>
      </w:pPr>
      <w:r>
        <w:rPr>
          <w:color w:val="000000"/>
          <w:lang w:val="fr-FR"/>
        </w:rPr>
        <w:t>- Lettre de candidature (DC1) et déclaration du candidat (DC2)</w:t>
      </w:r>
    </w:p>
    <w:p w14:paraId="6332D680" w14:textId="77777777" w:rsidR="008B57C1" w:rsidRPr="008B57C1" w:rsidRDefault="008B57C1" w:rsidP="008B57C1">
      <w:pPr>
        <w:rPr>
          <w:lang w:val="fr-FR"/>
        </w:rPr>
      </w:pPr>
    </w:p>
    <w:p w14:paraId="7DAD2EF8" w14:textId="77777777" w:rsidR="00C14215" w:rsidRDefault="00E669DC">
      <w:pPr>
        <w:pStyle w:val="ParagrapheIndent1"/>
        <w:spacing w:line="270" w:lineRule="exact"/>
        <w:jc w:val="both"/>
        <w:rPr>
          <w:color w:val="000000"/>
          <w:lang w:val="fr-FR"/>
        </w:rPr>
      </w:pPr>
      <w:r>
        <w:rPr>
          <w:color w:val="000000"/>
          <w:lang w:val="fr-FR"/>
        </w:rPr>
        <w:t xml:space="preserve">Le pouvoir adjudicateur attire l'attention du candidat qu'il est de sa responsabilité de déclarer des coordonnées valides. </w:t>
      </w:r>
    </w:p>
    <w:p w14:paraId="47AF6333" w14:textId="52901CC9" w:rsidR="004D7A50" w:rsidRDefault="00E669DC">
      <w:pPr>
        <w:pStyle w:val="ParagrapheIndent1"/>
        <w:spacing w:line="270" w:lineRule="exact"/>
        <w:jc w:val="both"/>
        <w:rPr>
          <w:color w:val="000000"/>
          <w:lang w:val="fr-FR"/>
        </w:rPr>
      </w:pPr>
      <w:r>
        <w:rPr>
          <w:color w:val="000000"/>
          <w:lang w:val="fr-FR"/>
        </w:rPr>
        <w:t xml:space="preserve">L'adresse </w:t>
      </w:r>
      <w:proofErr w:type="gramStart"/>
      <w:r>
        <w:rPr>
          <w:color w:val="000000"/>
          <w:lang w:val="fr-FR"/>
        </w:rPr>
        <w:t>email</w:t>
      </w:r>
      <w:proofErr w:type="gramEnd"/>
      <w:r>
        <w:rPr>
          <w:color w:val="000000"/>
          <w:lang w:val="fr-FR"/>
        </w:rPr>
        <w:t xml:space="preserve"> indiquée pour le téléchargement, sera la seule adresse utilisée pour informer le candidat des éventuelles modifications et transmettre les compléments d'information lors de la consultation.</w:t>
      </w:r>
    </w:p>
    <w:p w14:paraId="47AF6334" w14:textId="77777777" w:rsidR="004D7A50" w:rsidRDefault="004D7A50">
      <w:pPr>
        <w:pStyle w:val="ParagrapheIndent1"/>
        <w:spacing w:line="270" w:lineRule="exact"/>
        <w:jc w:val="both"/>
        <w:rPr>
          <w:color w:val="000000"/>
          <w:lang w:val="fr-FR"/>
        </w:rPr>
      </w:pPr>
    </w:p>
    <w:p w14:paraId="47AF6335" w14:textId="77777777" w:rsidR="004D7A50" w:rsidRDefault="00E669DC">
      <w:pPr>
        <w:pStyle w:val="ParagrapheIndent1"/>
        <w:spacing w:after="240" w:line="270" w:lineRule="exact"/>
        <w:jc w:val="both"/>
        <w:rPr>
          <w:color w:val="000000"/>
          <w:lang w:val="fr-FR"/>
        </w:rPr>
      </w:pPr>
      <w:r>
        <w:rPr>
          <w:color w:val="000000"/>
          <w:lang w:val="fr-FR"/>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47AF6336" w14:textId="77777777" w:rsidR="004D7A50" w:rsidRDefault="00E669DC">
      <w:pPr>
        <w:pStyle w:val="ParagrapheIndent1"/>
        <w:spacing w:line="270"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EE1077C" w14:textId="77777777" w:rsidR="007B50B0" w:rsidRDefault="00E669DC">
      <w:pPr>
        <w:pStyle w:val="ParagrapheIndent1"/>
        <w:spacing w:line="270"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122E03DF" w14:textId="77777777" w:rsidR="004D15F8" w:rsidRDefault="004D15F8" w:rsidP="004D15F8">
      <w:pPr>
        <w:rPr>
          <w:lang w:val="fr-FR"/>
        </w:rPr>
      </w:pPr>
    </w:p>
    <w:p w14:paraId="553B19F9" w14:textId="77777777" w:rsidR="007B50B0" w:rsidRPr="007B50B0" w:rsidRDefault="007B50B0" w:rsidP="007B50B0">
      <w:pPr>
        <w:rPr>
          <w:lang w:val="fr-FR"/>
        </w:rPr>
      </w:pPr>
    </w:p>
    <w:p w14:paraId="47AF6339"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38" w:name="ArtL1_RC-2-A7"/>
      <w:bookmarkStart w:id="39" w:name="_Toc241676025"/>
      <w:bookmarkEnd w:id="38"/>
      <w:r>
        <w:rPr>
          <w:rFonts w:ascii="Century Gothic" w:eastAsia="Century Gothic" w:hAnsi="Century Gothic" w:cs="Century Gothic"/>
          <w:color w:val="FFFFFF"/>
          <w:sz w:val="28"/>
          <w:lang w:val="fr-FR"/>
        </w:rPr>
        <w:t>5 - Présentation des candidatures et des offres</w:t>
      </w:r>
      <w:bookmarkEnd w:id="39"/>
    </w:p>
    <w:p w14:paraId="47AF633B" w14:textId="75DC8F4C" w:rsidR="004D7A50" w:rsidRDefault="00E669DC" w:rsidP="00796731">
      <w:pPr>
        <w:spacing w:line="240" w:lineRule="exact"/>
      </w:pPr>
      <w:r>
        <w:t xml:space="preserve"> </w:t>
      </w:r>
    </w:p>
    <w:p w14:paraId="47AF633C" w14:textId="77777777" w:rsidR="004D7A50" w:rsidRDefault="00E669DC">
      <w:pPr>
        <w:pStyle w:val="ParagrapheIndent1"/>
        <w:spacing w:line="270" w:lineRule="exact"/>
        <w:jc w:val="both"/>
        <w:rPr>
          <w:color w:val="000000"/>
          <w:lang w:val="fr-FR"/>
        </w:rPr>
      </w:pPr>
      <w:r>
        <w:rPr>
          <w:color w:val="000000"/>
          <w:lang w:val="fr-FR"/>
        </w:rPr>
        <w:t>Les offres des candidats seront entièrement rédigées en langue française et exprimées en EURO.</w:t>
      </w:r>
    </w:p>
    <w:p w14:paraId="47AF633D" w14:textId="77777777" w:rsidR="004D7A50" w:rsidRDefault="00E669DC">
      <w:pPr>
        <w:pStyle w:val="ParagrapheIndent1"/>
        <w:spacing w:after="240" w:line="270"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7AF633E"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40" w:name="ArtL2_RC-2-A7.5"/>
      <w:bookmarkStart w:id="41" w:name="_Toc241676026"/>
      <w:bookmarkEnd w:id="40"/>
      <w:r>
        <w:rPr>
          <w:rFonts w:ascii="Century Gothic" w:eastAsia="Century Gothic" w:hAnsi="Century Gothic" w:cs="Century Gothic"/>
          <w:i w:val="0"/>
          <w:color w:val="000000"/>
          <w:sz w:val="24"/>
          <w:lang w:val="fr-FR"/>
        </w:rPr>
        <w:t>5.1 - Documents à produire</w:t>
      </w:r>
      <w:bookmarkEnd w:id="41"/>
    </w:p>
    <w:p w14:paraId="47AF633F" w14:textId="77777777" w:rsidR="004D7A50" w:rsidRDefault="00E669DC">
      <w:pPr>
        <w:pStyle w:val="ParagrapheIndent2"/>
        <w:spacing w:line="270" w:lineRule="exact"/>
        <w:jc w:val="both"/>
        <w:rPr>
          <w:color w:val="000000"/>
          <w:lang w:val="fr-FR"/>
        </w:rPr>
      </w:pPr>
      <w:r>
        <w:rPr>
          <w:color w:val="000000"/>
          <w:lang w:val="fr-FR"/>
        </w:rPr>
        <w:t>Chaque candidat aura à produire un dossier complet comprenant les pièces suivantes :</w:t>
      </w:r>
    </w:p>
    <w:p w14:paraId="47AF6340" w14:textId="77777777" w:rsidR="004D7A50" w:rsidRDefault="004D7A50">
      <w:pPr>
        <w:pStyle w:val="ParagrapheIndent2"/>
        <w:spacing w:line="270" w:lineRule="exact"/>
        <w:jc w:val="both"/>
        <w:rPr>
          <w:color w:val="000000"/>
          <w:lang w:val="fr-FR"/>
        </w:rPr>
      </w:pPr>
    </w:p>
    <w:p w14:paraId="0046F5BE" w14:textId="2C074449" w:rsidR="00824C20" w:rsidRPr="00622A2E" w:rsidRDefault="00E669DC" w:rsidP="00622A2E">
      <w:pPr>
        <w:pStyle w:val="ParagrapheIndent2"/>
        <w:spacing w:line="270" w:lineRule="exact"/>
        <w:jc w:val="both"/>
        <w:rPr>
          <w:color w:val="000000"/>
          <w:lang w:val="fr-FR"/>
        </w:rPr>
      </w:pPr>
      <w:r>
        <w:rPr>
          <w:color w:val="000000"/>
          <w:lang w:val="fr-FR"/>
        </w:rPr>
        <w:t xml:space="preserve">Pièces de la candidature telles que prévues aux articles L. 2142-1, R. 2142-3, R. 2142-4, R. 2143-3 et R. 2143-4 du Code de la </w:t>
      </w:r>
      <w:r w:rsidR="00796731">
        <w:rPr>
          <w:color w:val="000000"/>
          <w:lang w:val="fr-FR"/>
        </w:rPr>
        <w:t>C</w:t>
      </w:r>
      <w:r>
        <w:rPr>
          <w:color w:val="000000"/>
          <w:lang w:val="fr-FR"/>
        </w:rPr>
        <w:t xml:space="preserve">ommande </w:t>
      </w:r>
      <w:r w:rsidR="00796731">
        <w:rPr>
          <w:color w:val="000000"/>
          <w:lang w:val="fr-FR"/>
        </w:rPr>
        <w:t>P</w:t>
      </w:r>
      <w:r>
        <w:rPr>
          <w:color w:val="000000"/>
          <w:lang w:val="fr-FR"/>
        </w:rPr>
        <w:t>ublique :</w:t>
      </w:r>
    </w:p>
    <w:p w14:paraId="5BA632A9" w14:textId="77777777" w:rsidR="002709B3" w:rsidRPr="002709B3" w:rsidRDefault="002709B3" w:rsidP="002709B3">
      <w:pPr>
        <w:rPr>
          <w:lang w:val="fr-FR"/>
        </w:rPr>
      </w:pPr>
    </w:p>
    <w:p w14:paraId="47AF6343" w14:textId="77777777" w:rsidR="004D7A50" w:rsidRDefault="00E669DC">
      <w:pPr>
        <w:pStyle w:val="ParagrapheIndent2"/>
        <w:spacing w:line="270" w:lineRule="exact"/>
        <w:jc w:val="both"/>
        <w:rPr>
          <w:color w:val="000000"/>
          <w:lang w:val="fr-FR"/>
        </w:rPr>
      </w:pPr>
      <w:r>
        <w:rPr>
          <w:color w:val="000000"/>
          <w:lang w:val="fr-FR"/>
        </w:rPr>
        <w:lastRenderedPageBreak/>
        <w:t>Renseignements concernant la situation juridique de l'entreprise :</w:t>
      </w:r>
    </w:p>
    <w:p w14:paraId="47AF6344" w14:textId="77777777" w:rsidR="004D7A50" w:rsidRDefault="004D7A50">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D7A50" w14:paraId="47AF634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45"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46"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4D7A50" w14:paraId="47AF634A"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48" w14:textId="77777777" w:rsidR="004D7A50" w:rsidRDefault="00E669DC">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49" w14:textId="77777777" w:rsidR="004D7A50" w:rsidRDefault="00E669DC">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4D7A50" w14:paraId="47AF634E" w14:textId="77777777">
        <w:trPr>
          <w:trHeight w:val="119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4B" w14:textId="77777777" w:rsidR="004D7A50" w:rsidRDefault="00E669DC">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Copie du ou des jugements prononcés, si le candidat est en redressement judiciaire ;</w:t>
            </w:r>
          </w:p>
          <w:p w14:paraId="47AF634C" w14:textId="77777777" w:rsidR="004D7A50" w:rsidRDefault="00E669DC">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ATTENTION : dans l’hypothèse où un candidat serait placé en redressement judiciaire après le dépôt de son offre, il doit en informer sans délai le pouvoir adjudicateur.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4D" w14:textId="77777777" w:rsidR="004D7A50" w:rsidRDefault="00E669DC">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4D7A50" w14:paraId="47AF6351"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4F" w14:textId="77777777" w:rsidR="004D7A50" w:rsidRDefault="00E669DC">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0" w14:textId="77777777" w:rsidR="004D7A50" w:rsidRDefault="00E669DC">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4D7A50" w14:paraId="47AF6354"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2" w14:textId="77777777" w:rsidR="004D7A50" w:rsidRDefault="00E669DC">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Attestation sur l'honneur relative à l'interdiction d'attribuer ou d'exécuter des contrats de la commande publique avec la Russie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3" w14:textId="77777777" w:rsidR="004D7A50" w:rsidRDefault="00E669DC">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07D8DE3B" w14:textId="77777777" w:rsidR="00C14215" w:rsidRDefault="00C14215">
      <w:pPr>
        <w:pStyle w:val="ParagrapheIndent2"/>
        <w:spacing w:line="270" w:lineRule="exact"/>
        <w:jc w:val="both"/>
        <w:rPr>
          <w:color w:val="000000"/>
          <w:lang w:val="fr-FR"/>
        </w:rPr>
      </w:pPr>
    </w:p>
    <w:p w14:paraId="0E432E72" w14:textId="77777777" w:rsidR="00C14215" w:rsidRDefault="00C14215">
      <w:pPr>
        <w:pStyle w:val="ParagrapheIndent2"/>
        <w:spacing w:line="270" w:lineRule="exact"/>
        <w:jc w:val="both"/>
        <w:rPr>
          <w:color w:val="000000"/>
          <w:lang w:val="fr-FR"/>
        </w:rPr>
      </w:pPr>
    </w:p>
    <w:p w14:paraId="47AF6356" w14:textId="25D24238" w:rsidR="004D7A50" w:rsidRDefault="00E669DC">
      <w:pPr>
        <w:pStyle w:val="ParagrapheIndent2"/>
        <w:spacing w:line="270" w:lineRule="exact"/>
        <w:jc w:val="both"/>
        <w:rPr>
          <w:color w:val="000000"/>
          <w:lang w:val="fr-FR"/>
        </w:rPr>
      </w:pPr>
      <w:r>
        <w:rPr>
          <w:color w:val="000000"/>
          <w:lang w:val="fr-FR"/>
        </w:rPr>
        <w:t>Renseignements concernant la capacité économique et financière de l'entreprise :</w:t>
      </w:r>
    </w:p>
    <w:p w14:paraId="47AF6357" w14:textId="77777777" w:rsidR="004D7A50" w:rsidRDefault="004D7A50">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4D7A50" w14:paraId="47AF635A"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58"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59"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4D7A50" w14:paraId="47AF635D"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B" w14:textId="77777777" w:rsidR="004D7A50" w:rsidRDefault="00E669DC">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C"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4D7A50" w14:paraId="47AF6360"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E" w14:textId="77777777" w:rsidR="004D7A50" w:rsidRDefault="00E669DC">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5F"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4A5D7732" w14:textId="77777777" w:rsidR="00E83886" w:rsidRDefault="00E83886" w:rsidP="005405A4">
      <w:pPr>
        <w:spacing w:after="400" w:line="240" w:lineRule="exact"/>
      </w:pPr>
    </w:p>
    <w:p w14:paraId="0236B552" w14:textId="441DE816" w:rsidR="004D7A50" w:rsidRDefault="00E669DC" w:rsidP="005405A4">
      <w:pPr>
        <w:spacing w:after="400" w:line="240" w:lineRule="exact"/>
      </w:pPr>
      <w:r>
        <w:rPr>
          <w:rFonts w:ascii="Century Gothic" w:eastAsia="Century Gothic" w:hAnsi="Century Gothic" w:cs="Century Gothic"/>
          <w:color w:val="000000"/>
          <w:sz w:val="22"/>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4D7A50" w14:paraId="47AF636A"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68"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69" w14:textId="77777777" w:rsidR="004D7A50" w:rsidRDefault="00E669DC">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4D7A50" w14:paraId="47AF636D" w14:textId="77777777">
        <w:trPr>
          <w:trHeight w:val="101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6B" w14:textId="77777777" w:rsidR="004D7A50" w:rsidRDefault="00E669DC">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6C" w14:textId="77777777" w:rsidR="004D7A50" w:rsidRDefault="00E669DC">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79BB3928" w14:textId="77777777" w:rsidR="006F5F58" w:rsidRDefault="00E669DC" w:rsidP="005405A4">
      <w:pPr>
        <w:spacing w:after="400" w:line="240" w:lineRule="exact"/>
      </w:pPr>
      <w:r>
        <w:t xml:space="preserve"> </w:t>
      </w:r>
    </w:p>
    <w:p w14:paraId="47AF636F" w14:textId="1E2B2F1D" w:rsidR="004D7A50" w:rsidRPr="005405A4" w:rsidRDefault="00E669DC" w:rsidP="005405A4">
      <w:pPr>
        <w:spacing w:after="400" w:line="240" w:lineRule="exact"/>
      </w:pPr>
      <w:r>
        <w:rPr>
          <w:rFonts w:ascii="Century Gothic" w:eastAsia="Century Gothic" w:hAnsi="Century Gothic" w:cs="Century Gothic"/>
          <w:color w:val="000000"/>
          <w:sz w:val="22"/>
          <w:lang w:val="fr-FR"/>
        </w:rPr>
        <w:t>Pour présenter leur candidature, les candidats utilisent soit les formulaires DC1 (lettre de candidature) et DC2 (déclaration du candidat) joints au présent dossier consultation des entreprises (DCE) et disponibles gratuitement sur le site www.economie.gouv.fr, soit le Document Unique de Marché Européen (DUME).</w:t>
      </w:r>
    </w:p>
    <w:p w14:paraId="48B0DB72" w14:textId="24E01943" w:rsidR="00727061" w:rsidRDefault="00E669DC" w:rsidP="004D15F8">
      <w:pPr>
        <w:pStyle w:val="ParagrapheIndent2"/>
        <w:spacing w:after="240" w:line="270"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58B6A80" w14:textId="77777777" w:rsidR="00C179DD" w:rsidRDefault="00C179DD" w:rsidP="00C179DD">
      <w:pPr>
        <w:rPr>
          <w:lang w:val="fr-FR"/>
        </w:rPr>
      </w:pPr>
    </w:p>
    <w:p w14:paraId="0C3BFE25" w14:textId="77777777" w:rsidR="00C179DD" w:rsidRDefault="00C179DD" w:rsidP="00C179DD">
      <w:pPr>
        <w:rPr>
          <w:lang w:val="fr-FR"/>
        </w:rPr>
      </w:pPr>
    </w:p>
    <w:p w14:paraId="10373F6E" w14:textId="77777777" w:rsidR="00C179DD" w:rsidRPr="00C179DD" w:rsidRDefault="00C179DD" w:rsidP="00C179DD">
      <w:pPr>
        <w:rPr>
          <w:lang w:val="fr-FR"/>
        </w:rPr>
      </w:pPr>
    </w:p>
    <w:p w14:paraId="47AF6371" w14:textId="77777777" w:rsidR="004D7A50" w:rsidRDefault="00E669DC">
      <w:pPr>
        <w:pStyle w:val="ParagrapheIndent2"/>
        <w:spacing w:line="270" w:lineRule="exact"/>
        <w:jc w:val="both"/>
        <w:rPr>
          <w:color w:val="000000"/>
          <w:lang w:val="fr-FR"/>
        </w:rPr>
      </w:pPr>
      <w:r>
        <w:rPr>
          <w:color w:val="000000"/>
          <w:lang w:val="fr-FR"/>
        </w:rPr>
        <w:lastRenderedPageBreak/>
        <w:t>Pièces de l'offre :</w:t>
      </w:r>
    </w:p>
    <w:p w14:paraId="47AF6372" w14:textId="77777777" w:rsidR="004D7A50" w:rsidRDefault="004D7A50">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D7A50" w14:paraId="47AF637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73"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74"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4D7A50" w14:paraId="47AF637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76" w14:textId="23A95241" w:rsidR="004D7A50" w:rsidRDefault="00E669DC">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L'acte d'engagemen</w:t>
            </w:r>
            <w:r w:rsidR="003239FE">
              <w:rPr>
                <w:rFonts w:ascii="Century Gothic" w:eastAsia="Century Gothic" w:hAnsi="Century Gothic" w:cs="Century Gothic"/>
                <w:color w:val="000000"/>
                <w:sz w:val="22"/>
                <w:lang w:val="fr-FR"/>
              </w:rPr>
              <w:t>t</w:t>
            </w:r>
            <w:r>
              <w:rPr>
                <w:rFonts w:ascii="Century Gothic" w:eastAsia="Century Gothic" w:hAnsi="Century Gothic" w:cs="Century Gothic"/>
                <w:color w:val="000000"/>
                <w:sz w:val="22"/>
                <w:lang w:val="fr-FR"/>
              </w:rPr>
              <w:t xml:space="preserve"> </w:t>
            </w:r>
            <w:r w:rsidR="00CB6296" w:rsidRPr="00CB6296">
              <w:rPr>
                <w:rFonts w:ascii="Century Gothic" w:eastAsia="Century Gothic" w:hAnsi="Century Gothic" w:cs="Century Gothic"/>
                <w:color w:val="000000"/>
                <w:sz w:val="22"/>
                <w:lang w:val="fr-FR"/>
              </w:rPr>
              <w:t>(AE)</w:t>
            </w:r>
            <w:r w:rsidR="00EE346E">
              <w:rPr>
                <w:rFonts w:ascii="Century Gothic" w:eastAsia="Century Gothic" w:hAnsi="Century Gothic" w:cs="Century Gothic"/>
                <w:color w:val="000000"/>
                <w:sz w:val="22"/>
                <w:lang w:val="fr-FR"/>
              </w:rPr>
              <w:t xml:space="preserve"> et s</w:t>
            </w:r>
            <w:r w:rsidR="00C179DD">
              <w:rPr>
                <w:rFonts w:ascii="Century Gothic" w:eastAsia="Century Gothic" w:hAnsi="Century Gothic" w:cs="Century Gothic"/>
                <w:color w:val="000000"/>
                <w:sz w:val="22"/>
                <w:lang w:val="fr-FR"/>
              </w:rPr>
              <w:t>es</w:t>
            </w:r>
            <w:r w:rsidR="00EE346E">
              <w:rPr>
                <w:rFonts w:ascii="Century Gothic" w:eastAsia="Century Gothic" w:hAnsi="Century Gothic" w:cs="Century Gothic"/>
                <w:color w:val="000000"/>
                <w:sz w:val="22"/>
                <w:lang w:val="fr-FR"/>
              </w:rPr>
              <w:t xml:space="preserve"> annexe</w:t>
            </w:r>
            <w:r w:rsidR="00C179DD">
              <w:rPr>
                <w:rFonts w:ascii="Century Gothic" w:eastAsia="Century Gothic" w:hAnsi="Century Gothic" w:cs="Century Gothic"/>
                <w:color w:val="000000"/>
                <w:sz w:val="22"/>
                <w:lang w:val="fr-FR"/>
              </w:rPr>
              <w:t>s</w:t>
            </w:r>
            <w:r w:rsidR="00EE346E">
              <w:rPr>
                <w:rFonts w:ascii="Century Gothic" w:eastAsia="Century Gothic" w:hAnsi="Century Gothic" w:cs="Century Gothic"/>
                <w:color w:val="000000"/>
                <w:sz w:val="22"/>
                <w:lang w:val="fr-FR"/>
              </w:rPr>
              <w:t xml:space="preserve"> par lot</w:t>
            </w:r>
            <w:r w:rsidR="00CB6296" w:rsidRPr="00CB6296">
              <w:rPr>
                <w:rFonts w:ascii="Century Gothic" w:eastAsia="Century Gothic" w:hAnsi="Century Gothic" w:cs="Century Gothic"/>
                <w:color w:val="000000"/>
                <w:sz w:val="22"/>
                <w:lang w:val="fr-FR"/>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77" w14:textId="77777777" w:rsidR="004D7A50" w:rsidRDefault="00E669DC">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C179DD" w14:paraId="65DC655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2A4BAF" w14:textId="7E5324D2" w:rsidR="00C179DD" w:rsidRDefault="00C179DD" w:rsidP="00C179DD">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Le bordereau des prix unitaires valant détail quantitatif estimatif par lot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A660CE" w14:textId="6F90042E" w:rsidR="00C179DD" w:rsidRDefault="00450295" w:rsidP="00C179DD">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C179DD" w14:paraId="47AF637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79" w14:textId="110DFDF7" w:rsidR="00C179DD" w:rsidRDefault="00832832" w:rsidP="00C179DD">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 cadre de mémoire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7A" w14:textId="65D6AE9C" w:rsidR="00C179DD" w:rsidRDefault="00450295" w:rsidP="00C179DD">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Non </w:t>
            </w:r>
          </w:p>
        </w:tc>
      </w:tr>
      <w:tr w:rsidR="00C179DD" w14:paraId="47AF638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7F" w14:textId="60D4956A" w:rsidR="00C179DD" w:rsidRDefault="00832832" w:rsidP="00C179DD">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 catalogue tarifé avec remise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80" w14:textId="77777777" w:rsidR="00C179DD" w:rsidRDefault="00C179DD" w:rsidP="00C179DD">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C179DD" w14:paraId="414CD26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B94F8" w14:textId="57790B53" w:rsidR="00C179DD" w:rsidRDefault="00C179DD" w:rsidP="00C179DD">
            <w:pPr>
              <w:spacing w:before="40"/>
              <w:ind w:left="80" w:right="80"/>
              <w:jc w:val="both"/>
              <w:rPr>
                <w:rFonts w:ascii="Century Gothic" w:eastAsia="Century Gothic" w:hAnsi="Century Gothic" w:cs="Century Gothic"/>
                <w:color w:val="000000"/>
                <w:sz w:val="22"/>
                <w:lang w:val="fr-FR"/>
              </w:rPr>
            </w:pPr>
            <w:r w:rsidRPr="00AE43BD">
              <w:rPr>
                <w:rFonts w:ascii="Century Gothic" w:eastAsia="Century Gothic" w:hAnsi="Century Gothic" w:cs="Century Gothic"/>
                <w:color w:val="000000"/>
                <w:sz w:val="22"/>
                <w:lang w:val="fr-FR"/>
              </w:rPr>
              <w:t>Les fiches techniques par lot</w:t>
            </w:r>
            <w:r w:rsidRPr="00F84727">
              <w:rPr>
                <w:rFonts w:ascii="Century Gothic" w:eastAsia="Century Gothic" w:hAnsi="Century Gothic" w:cs="Century Gothic"/>
                <w:color w:val="000000"/>
                <w:szCs w:val="28"/>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FEA000" w14:textId="7E4E7E11" w:rsidR="00C179DD" w:rsidRDefault="00C179DD" w:rsidP="00C179DD">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47AF6387" w14:textId="67BCB953" w:rsidR="004D7A50" w:rsidRPr="00AE43BD" w:rsidRDefault="00E669DC" w:rsidP="00AE43BD">
      <w:pPr>
        <w:spacing w:after="160" w:line="240" w:lineRule="exact"/>
      </w:pPr>
      <w:r>
        <w:t xml:space="preserve"> </w:t>
      </w:r>
    </w:p>
    <w:p w14:paraId="1AD7BF8F" w14:textId="52025D25" w:rsidR="002709B3" w:rsidRPr="00A5155B" w:rsidRDefault="00CB6296" w:rsidP="00A5155B">
      <w:pPr>
        <w:spacing w:after="120" w:line="240" w:lineRule="exact"/>
        <w:jc w:val="both"/>
        <w:rPr>
          <w:rFonts w:ascii="Century Gothic" w:hAnsi="Century Gothic"/>
          <w:b/>
          <w:bCs/>
          <w:sz w:val="22"/>
          <w:szCs w:val="22"/>
          <w:lang w:val="fr-FR"/>
        </w:rPr>
      </w:pPr>
      <w:r w:rsidRPr="00F84727">
        <w:rPr>
          <w:rFonts w:ascii="Century Gothic" w:eastAsia="Century Gothic" w:hAnsi="Century Gothic" w:cs="Century Gothic"/>
          <w:color w:val="000000"/>
          <w:szCs w:val="28"/>
          <w:lang w:val="fr-FR"/>
        </w:rPr>
        <w:t>*</w:t>
      </w:r>
      <w:r w:rsidRPr="00F84727">
        <w:rPr>
          <w:rFonts w:ascii="Century Gothic" w:eastAsia="Century Gothic" w:hAnsi="Century Gothic" w:cs="Century Gothic"/>
          <w:color w:val="000000"/>
          <w:sz w:val="16"/>
          <w:szCs w:val="18"/>
          <w:lang w:val="fr-FR"/>
        </w:rPr>
        <w:t xml:space="preserve"> </w:t>
      </w:r>
      <w:r w:rsidRPr="00F84727">
        <w:rPr>
          <w:rFonts w:ascii="Century Gothic" w:hAnsi="Century Gothic"/>
          <w:b/>
          <w:bCs/>
          <w:sz w:val="22"/>
          <w:szCs w:val="22"/>
          <w:lang w:val="fr-FR"/>
        </w:rPr>
        <w:t>Le candidat devra fournir les fiches techniques des produits mentionnés au Bordereau des Prix Unitaires</w:t>
      </w:r>
      <w:r w:rsidR="003156FC">
        <w:rPr>
          <w:rFonts w:ascii="Century Gothic" w:hAnsi="Century Gothic"/>
          <w:b/>
          <w:bCs/>
          <w:sz w:val="22"/>
          <w:szCs w:val="22"/>
          <w:lang w:val="fr-FR"/>
        </w:rPr>
        <w:t xml:space="preserve"> valant Détail Quantitatif Estimatif </w:t>
      </w:r>
      <w:r w:rsidRPr="00F84727">
        <w:rPr>
          <w:rFonts w:ascii="Century Gothic" w:hAnsi="Century Gothic"/>
          <w:b/>
          <w:bCs/>
          <w:sz w:val="22"/>
          <w:szCs w:val="22"/>
          <w:lang w:val="fr-FR"/>
        </w:rPr>
        <w:t>(BPU</w:t>
      </w:r>
      <w:r w:rsidR="003156FC">
        <w:rPr>
          <w:rFonts w:ascii="Century Gothic" w:hAnsi="Century Gothic"/>
          <w:b/>
          <w:bCs/>
          <w:sz w:val="22"/>
          <w:szCs w:val="22"/>
          <w:lang w:val="fr-FR"/>
        </w:rPr>
        <w:t>-DQE</w:t>
      </w:r>
      <w:r w:rsidRPr="00F84727">
        <w:rPr>
          <w:rFonts w:ascii="Century Gothic" w:hAnsi="Century Gothic"/>
          <w:b/>
          <w:bCs/>
          <w:sz w:val="22"/>
          <w:szCs w:val="22"/>
          <w:lang w:val="fr-FR"/>
        </w:rPr>
        <w:t>). L’absence de plus de 20% fiches techniques entraînera l’irrégularité de l’offre.</w:t>
      </w:r>
    </w:p>
    <w:p w14:paraId="47AF6388" w14:textId="208568C3" w:rsidR="004D7A50" w:rsidRDefault="00E669DC">
      <w:pPr>
        <w:pStyle w:val="ParagrapheIndent2"/>
        <w:spacing w:after="240" w:line="270" w:lineRule="exact"/>
        <w:jc w:val="both"/>
        <w:rPr>
          <w:color w:val="000000"/>
          <w:lang w:val="fr-FR"/>
        </w:rPr>
      </w:pPr>
      <w:r>
        <w:rPr>
          <w:color w:val="000000"/>
          <w:lang w:val="fr-FR"/>
        </w:rPr>
        <w:t xml:space="preserve">Dans un souci de simplification de l’analyse des offres, il est demandé aux candidats de remettre le </w:t>
      </w:r>
      <w:r w:rsidR="0052615F">
        <w:rPr>
          <w:color w:val="000000"/>
          <w:lang w:val="fr-FR"/>
        </w:rPr>
        <w:t xml:space="preserve">BPU-DQE </w:t>
      </w:r>
      <w:r>
        <w:rPr>
          <w:color w:val="000000"/>
          <w:lang w:val="fr-FR"/>
        </w:rPr>
        <w:t>dans un format Excel. </w:t>
      </w:r>
    </w:p>
    <w:p w14:paraId="47AF6389" w14:textId="77777777" w:rsidR="004D7A50" w:rsidRDefault="00E669DC">
      <w:pPr>
        <w:pStyle w:val="ParagrapheIndent2"/>
        <w:spacing w:after="240" w:line="270"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7AF638A"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42" w:name="ArtL1_RC-2-A8"/>
      <w:bookmarkStart w:id="43" w:name="_Toc241676027"/>
      <w:bookmarkEnd w:id="42"/>
      <w:r>
        <w:rPr>
          <w:rFonts w:ascii="Century Gothic" w:eastAsia="Century Gothic" w:hAnsi="Century Gothic" w:cs="Century Gothic"/>
          <w:color w:val="FFFFFF"/>
          <w:sz w:val="28"/>
          <w:lang w:val="fr-FR"/>
        </w:rPr>
        <w:t>6 - Conditions d'envoi ou de remise des plis</w:t>
      </w:r>
      <w:bookmarkEnd w:id="43"/>
    </w:p>
    <w:p w14:paraId="47AF638B" w14:textId="77777777" w:rsidR="004D7A50" w:rsidRDefault="00E669DC">
      <w:pPr>
        <w:spacing w:line="60" w:lineRule="exact"/>
        <w:rPr>
          <w:sz w:val="6"/>
        </w:rPr>
      </w:pPr>
      <w:r>
        <w:t xml:space="preserve"> </w:t>
      </w:r>
    </w:p>
    <w:p w14:paraId="47AF638C" w14:textId="77777777" w:rsidR="004D7A50" w:rsidRDefault="00E669DC">
      <w:pPr>
        <w:pStyle w:val="ParagrapheIndent1"/>
        <w:spacing w:after="240" w:line="270"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7AF638D"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44" w:name="ArtL2_RC-2-A8.4"/>
      <w:bookmarkStart w:id="45" w:name="_Toc241676028"/>
      <w:bookmarkEnd w:id="44"/>
      <w:r>
        <w:rPr>
          <w:rFonts w:ascii="Century Gothic" w:eastAsia="Century Gothic" w:hAnsi="Century Gothic" w:cs="Century Gothic"/>
          <w:i w:val="0"/>
          <w:color w:val="000000"/>
          <w:sz w:val="24"/>
          <w:lang w:val="fr-FR"/>
        </w:rPr>
        <w:t>6.1 - Transmission électronique</w:t>
      </w:r>
      <w:bookmarkEnd w:id="45"/>
    </w:p>
    <w:p w14:paraId="47AF638E" w14:textId="77777777" w:rsidR="004D7A50" w:rsidRDefault="00E669DC">
      <w:pPr>
        <w:pStyle w:val="ParagrapheIndent2"/>
        <w:spacing w:line="270" w:lineRule="exact"/>
        <w:jc w:val="both"/>
        <w:rPr>
          <w:color w:val="000000"/>
          <w:lang w:val="fr-FR"/>
        </w:rPr>
      </w:pPr>
      <w:r>
        <w:rPr>
          <w:color w:val="000000"/>
          <w:lang w:val="fr-FR"/>
        </w:rPr>
        <w:t>La transmission des documents par voie électronique est effectuée sur le profil d'acheteur du pouvoir adjudicateur, à l'adresse URL suivante : http://agysoft.marches-publics.info.</w:t>
      </w:r>
    </w:p>
    <w:p w14:paraId="47AF638F" w14:textId="77777777" w:rsidR="004D7A50" w:rsidRDefault="004D7A50">
      <w:pPr>
        <w:pStyle w:val="ParagrapheIndent2"/>
        <w:spacing w:line="270" w:lineRule="exact"/>
        <w:jc w:val="both"/>
        <w:rPr>
          <w:color w:val="000000"/>
          <w:lang w:val="fr-FR"/>
        </w:rPr>
      </w:pPr>
    </w:p>
    <w:p w14:paraId="47AF6391" w14:textId="0C951203" w:rsidR="004D7A50" w:rsidRDefault="00E669DC">
      <w:pPr>
        <w:pStyle w:val="ParagrapheIndent2"/>
        <w:spacing w:line="270" w:lineRule="exact"/>
        <w:jc w:val="both"/>
        <w:rPr>
          <w:color w:val="000000"/>
          <w:lang w:val="fr-FR"/>
        </w:rPr>
      </w:pPr>
      <w:r>
        <w:rPr>
          <w:color w:val="000000"/>
          <w:lang w:val="fr-FR"/>
        </w:rPr>
        <w:t>Les conditions générales d’utilisation du profil acheteur ainsi que les coordonnées de l’assistance technique d’AWS sont accessibles ici : https://awsolutions.fr/blog/cgu/.</w:t>
      </w:r>
    </w:p>
    <w:p w14:paraId="47AF6392" w14:textId="77777777" w:rsidR="004D7A50" w:rsidRDefault="004D7A50">
      <w:pPr>
        <w:pStyle w:val="ParagrapheIndent2"/>
        <w:spacing w:line="270" w:lineRule="exact"/>
        <w:jc w:val="both"/>
        <w:rPr>
          <w:color w:val="000000"/>
          <w:lang w:val="fr-FR"/>
        </w:rPr>
      </w:pPr>
    </w:p>
    <w:p w14:paraId="47AF6393" w14:textId="37C63636" w:rsidR="004D7A50" w:rsidRDefault="00E669DC">
      <w:pPr>
        <w:pStyle w:val="ParagrapheIndent2"/>
        <w:spacing w:line="270" w:lineRule="exact"/>
        <w:jc w:val="both"/>
        <w:rPr>
          <w:color w:val="000000"/>
          <w:lang w:val="fr-FR"/>
        </w:rPr>
      </w:pPr>
      <w:r>
        <w:rPr>
          <w:color w:val="000000"/>
          <w:lang w:val="fr-FR"/>
        </w:rPr>
        <w:t>Tout candidat est présumé en avoir pris connaissance.</w:t>
      </w:r>
      <w:r w:rsidR="00AE43BD">
        <w:rPr>
          <w:color w:val="000000"/>
          <w:lang w:val="fr-FR"/>
        </w:rPr>
        <w:t xml:space="preserve"> </w:t>
      </w:r>
      <w:r>
        <w:rPr>
          <w:color w:val="000000"/>
          <w:lang w:val="fr-FR"/>
        </w:rPr>
        <w:t>La taille maximale des fichiers est de 3 Go par fichier et de 5 Go pour l’ensemble du pli.</w:t>
      </w:r>
    </w:p>
    <w:p w14:paraId="47AF6394" w14:textId="77777777" w:rsidR="004D7A50" w:rsidRDefault="004D7A50">
      <w:pPr>
        <w:pStyle w:val="ParagrapheIndent2"/>
        <w:spacing w:line="270" w:lineRule="exact"/>
        <w:jc w:val="both"/>
        <w:rPr>
          <w:color w:val="000000"/>
          <w:lang w:val="fr-FR"/>
        </w:rPr>
      </w:pPr>
    </w:p>
    <w:p w14:paraId="47AF6395" w14:textId="77777777" w:rsidR="004D7A50" w:rsidRDefault="00E669DC">
      <w:pPr>
        <w:pStyle w:val="ParagrapheIndent2"/>
        <w:spacing w:after="240" w:line="270"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47AF6396" w14:textId="77777777" w:rsidR="004D7A50" w:rsidRDefault="00E669DC">
      <w:pPr>
        <w:pStyle w:val="ParagrapheIndent2"/>
        <w:spacing w:line="270"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47AF6397" w14:textId="77777777" w:rsidR="004D7A50" w:rsidRDefault="004D7A50">
      <w:pPr>
        <w:pStyle w:val="ParagrapheIndent2"/>
        <w:spacing w:line="270" w:lineRule="exact"/>
        <w:jc w:val="both"/>
        <w:rPr>
          <w:color w:val="000000"/>
          <w:lang w:val="fr-FR"/>
        </w:rPr>
      </w:pPr>
    </w:p>
    <w:p w14:paraId="47AF6398" w14:textId="77777777" w:rsidR="004D7A50" w:rsidRDefault="00E669DC">
      <w:pPr>
        <w:pStyle w:val="ParagrapheIndent2"/>
        <w:spacing w:line="270"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47AF6399" w14:textId="77777777" w:rsidR="004D7A50" w:rsidRDefault="004D7A50">
      <w:pPr>
        <w:pStyle w:val="ParagrapheIndent2"/>
        <w:spacing w:line="270" w:lineRule="exact"/>
        <w:jc w:val="both"/>
        <w:rPr>
          <w:color w:val="000000"/>
          <w:lang w:val="fr-FR"/>
        </w:rPr>
      </w:pPr>
    </w:p>
    <w:p w14:paraId="47AF639A" w14:textId="77777777" w:rsidR="004D7A50" w:rsidRDefault="00E669DC">
      <w:pPr>
        <w:pStyle w:val="ParagrapheIndent2"/>
        <w:spacing w:after="240" w:line="270"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7AF639B" w14:textId="77777777" w:rsidR="004D7A50" w:rsidRDefault="00E669DC">
      <w:pPr>
        <w:pStyle w:val="ParagrapheIndent2"/>
        <w:spacing w:line="270" w:lineRule="exact"/>
        <w:jc w:val="both"/>
        <w:rPr>
          <w:color w:val="000000"/>
          <w:lang w:val="fr-FR"/>
        </w:rPr>
      </w:pPr>
      <w:r>
        <w:rPr>
          <w:color w:val="000000"/>
          <w:lang w:val="fr-FR"/>
        </w:rPr>
        <w:lastRenderedPageBreak/>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Cette copie doit être placée dans un pli portant la mention « copie de sauvegarde », ainsi que le nom du candidat et l'identification de la procédure concernée. Elle est ouverte dans les cas suivants :</w:t>
      </w:r>
    </w:p>
    <w:p w14:paraId="47AF639C" w14:textId="77777777" w:rsidR="004D7A50" w:rsidRDefault="00E669DC">
      <w:pPr>
        <w:pStyle w:val="ParagrapheIndent2"/>
        <w:spacing w:line="270" w:lineRule="exact"/>
        <w:jc w:val="both"/>
        <w:rPr>
          <w:color w:val="000000"/>
          <w:lang w:val="fr-FR"/>
        </w:rPr>
      </w:pPr>
      <w:r>
        <w:rPr>
          <w:color w:val="000000"/>
          <w:lang w:val="fr-FR"/>
        </w:rPr>
        <w:t>- lorsqu'un programme informatique malveillant est détecté dans le pli transmis par voie électronique ;</w:t>
      </w:r>
    </w:p>
    <w:p w14:paraId="47AF639D" w14:textId="77777777" w:rsidR="004D7A50" w:rsidRDefault="00E669DC">
      <w:pPr>
        <w:pStyle w:val="ParagrapheIndent2"/>
        <w:spacing w:line="270"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47AF639E" w14:textId="77777777" w:rsidR="004D7A50" w:rsidRDefault="004D7A50">
      <w:pPr>
        <w:pStyle w:val="ParagrapheIndent2"/>
        <w:spacing w:line="270" w:lineRule="exact"/>
        <w:jc w:val="both"/>
        <w:rPr>
          <w:color w:val="000000"/>
          <w:lang w:val="fr-FR"/>
        </w:rPr>
      </w:pPr>
    </w:p>
    <w:p w14:paraId="72E395BF" w14:textId="77777777" w:rsidR="00D731D8" w:rsidRDefault="00E669DC" w:rsidP="00D731D8">
      <w:pPr>
        <w:pStyle w:val="ParagrapheIndent2"/>
        <w:spacing w:line="270" w:lineRule="exact"/>
        <w:jc w:val="both"/>
        <w:rPr>
          <w:color w:val="000000"/>
          <w:lang w:val="fr-FR"/>
        </w:rPr>
      </w:pPr>
      <w:r>
        <w:rPr>
          <w:color w:val="000000"/>
          <w:lang w:val="fr-FR"/>
        </w:rPr>
        <w:t>La copie de sauvegarde peut être transmise ou déposée à l'adresse suivante :</w:t>
      </w:r>
    </w:p>
    <w:p w14:paraId="0C494C2B" w14:textId="77777777" w:rsidR="00D731D8" w:rsidRDefault="00D731D8" w:rsidP="00D731D8">
      <w:pPr>
        <w:pStyle w:val="ParagrapheIndent2"/>
        <w:spacing w:line="270" w:lineRule="exact"/>
        <w:jc w:val="both"/>
        <w:rPr>
          <w:color w:val="000000"/>
          <w:lang w:val="fr-FR"/>
        </w:rPr>
      </w:pPr>
    </w:p>
    <w:p w14:paraId="554825C6" w14:textId="1FF4C57F" w:rsidR="00D731D8" w:rsidRPr="00D731D8" w:rsidRDefault="00D731D8" w:rsidP="00D731D8">
      <w:pPr>
        <w:pStyle w:val="ParagrapheIndent2"/>
        <w:spacing w:line="270" w:lineRule="exact"/>
        <w:jc w:val="both"/>
        <w:rPr>
          <w:color w:val="000000"/>
          <w:lang w:val="fr-FR"/>
        </w:rPr>
      </w:pPr>
      <w:r w:rsidRPr="00D731D8">
        <w:rPr>
          <w:color w:val="000000"/>
          <w:lang w:val="fr-FR"/>
        </w:rPr>
        <w:t>Mairie de Perpignan</w:t>
      </w:r>
    </w:p>
    <w:p w14:paraId="4BDE0095" w14:textId="24E2BC51" w:rsidR="00D731D8" w:rsidRPr="00D731D8" w:rsidRDefault="00D731D8" w:rsidP="00D731D8">
      <w:pPr>
        <w:pStyle w:val="ParagrapheIndent2"/>
        <w:spacing w:line="270" w:lineRule="exact"/>
        <w:jc w:val="both"/>
        <w:rPr>
          <w:color w:val="000000"/>
          <w:lang w:val="fr-FR"/>
        </w:rPr>
      </w:pPr>
      <w:r w:rsidRPr="00D731D8">
        <w:rPr>
          <w:color w:val="000000"/>
          <w:lang w:val="fr-FR"/>
        </w:rPr>
        <w:t xml:space="preserve">Direction de la </w:t>
      </w:r>
      <w:r w:rsidR="00670740">
        <w:rPr>
          <w:color w:val="000000"/>
          <w:lang w:val="fr-FR"/>
        </w:rPr>
        <w:t>C</w:t>
      </w:r>
      <w:r w:rsidRPr="00D731D8">
        <w:rPr>
          <w:color w:val="000000"/>
          <w:lang w:val="fr-FR"/>
        </w:rPr>
        <w:t>ommande Publique et des Achats</w:t>
      </w:r>
    </w:p>
    <w:p w14:paraId="1EC9444D" w14:textId="77777777" w:rsidR="00D731D8" w:rsidRPr="00D731D8" w:rsidRDefault="00D731D8" w:rsidP="00D731D8">
      <w:pPr>
        <w:pStyle w:val="ParagrapheIndent2"/>
        <w:spacing w:line="270" w:lineRule="exact"/>
        <w:jc w:val="both"/>
        <w:rPr>
          <w:color w:val="000000"/>
          <w:lang w:val="fr-FR"/>
        </w:rPr>
      </w:pPr>
      <w:r w:rsidRPr="00D731D8">
        <w:rPr>
          <w:color w:val="000000"/>
          <w:lang w:val="fr-FR"/>
        </w:rPr>
        <w:t>Division des Marchés Publics</w:t>
      </w:r>
    </w:p>
    <w:p w14:paraId="2A4DEE3A" w14:textId="77777777" w:rsidR="00D731D8" w:rsidRPr="00D731D8" w:rsidRDefault="00D731D8" w:rsidP="00D731D8">
      <w:pPr>
        <w:pStyle w:val="ParagrapheIndent2"/>
        <w:spacing w:line="270" w:lineRule="exact"/>
        <w:jc w:val="both"/>
        <w:rPr>
          <w:color w:val="000000"/>
          <w:lang w:val="fr-FR"/>
        </w:rPr>
      </w:pPr>
      <w:r w:rsidRPr="00D731D8">
        <w:rPr>
          <w:color w:val="000000"/>
          <w:lang w:val="fr-FR"/>
        </w:rPr>
        <w:t>CTM - Avenue de Broglie</w:t>
      </w:r>
    </w:p>
    <w:p w14:paraId="0AB90004" w14:textId="77777777" w:rsidR="00D731D8" w:rsidRPr="00D731D8" w:rsidRDefault="00D731D8" w:rsidP="00D731D8">
      <w:pPr>
        <w:pStyle w:val="ParagrapheIndent2"/>
        <w:spacing w:line="270" w:lineRule="exact"/>
        <w:jc w:val="both"/>
        <w:rPr>
          <w:color w:val="000000"/>
          <w:lang w:val="fr-FR"/>
        </w:rPr>
      </w:pPr>
      <w:r w:rsidRPr="00D731D8">
        <w:rPr>
          <w:color w:val="000000"/>
          <w:lang w:val="fr-FR"/>
        </w:rPr>
        <w:t>BP 20931</w:t>
      </w:r>
    </w:p>
    <w:p w14:paraId="47AF63A5" w14:textId="0CD5CA83" w:rsidR="004D7A50" w:rsidRDefault="00D731D8" w:rsidP="00D731D8">
      <w:pPr>
        <w:pStyle w:val="ParagrapheIndent2"/>
        <w:spacing w:line="270" w:lineRule="exact"/>
        <w:jc w:val="both"/>
        <w:rPr>
          <w:color w:val="000000"/>
          <w:lang w:val="fr-FR"/>
        </w:rPr>
      </w:pPr>
      <w:r w:rsidRPr="00D731D8">
        <w:rPr>
          <w:color w:val="000000"/>
          <w:lang w:val="fr-FR"/>
        </w:rPr>
        <w:t>66931 PERPIGNAN CEDEX</w:t>
      </w:r>
    </w:p>
    <w:p w14:paraId="639A8B23" w14:textId="77777777" w:rsidR="00D731D8" w:rsidRPr="00D731D8" w:rsidRDefault="00D731D8" w:rsidP="00D731D8">
      <w:pPr>
        <w:rPr>
          <w:lang w:val="fr-FR"/>
        </w:rPr>
      </w:pPr>
    </w:p>
    <w:p w14:paraId="47AF63A6" w14:textId="77777777" w:rsidR="004D7A50" w:rsidRDefault="00E669DC">
      <w:pPr>
        <w:pStyle w:val="ParagrapheIndent2"/>
        <w:spacing w:after="240" w:line="270" w:lineRule="exact"/>
        <w:jc w:val="both"/>
        <w:rPr>
          <w:color w:val="000000"/>
          <w:lang w:val="fr-FR"/>
        </w:rPr>
      </w:pPr>
      <w:r>
        <w:rPr>
          <w:color w:val="000000"/>
          <w:lang w:val="fr-FR"/>
        </w:rPr>
        <w:t>Le format électronique dans lequel les documents peuvent être transmis est le suivant : format PDF.</w:t>
      </w:r>
    </w:p>
    <w:p w14:paraId="47AF63A7" w14:textId="77777777" w:rsidR="004D7A50" w:rsidRDefault="00E669DC">
      <w:pPr>
        <w:pStyle w:val="ParagrapheIndent2"/>
        <w:spacing w:line="270"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14:paraId="47AF63A8" w14:textId="77777777" w:rsidR="004D7A50" w:rsidRDefault="004D7A50">
      <w:pPr>
        <w:pStyle w:val="ParagrapheIndent2"/>
        <w:spacing w:line="270" w:lineRule="exact"/>
        <w:jc w:val="both"/>
        <w:rPr>
          <w:color w:val="000000"/>
          <w:lang w:val="fr-FR"/>
        </w:rPr>
      </w:pPr>
    </w:p>
    <w:p w14:paraId="47AF63A9" w14:textId="77777777" w:rsidR="004D7A50" w:rsidRDefault="00E669DC">
      <w:pPr>
        <w:pStyle w:val="ParagrapheIndent2"/>
        <w:spacing w:line="270"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47AF63AB" w14:textId="77777777" w:rsidR="004D7A50" w:rsidRDefault="004D7A50">
      <w:pPr>
        <w:pStyle w:val="ParagrapheIndent2"/>
        <w:spacing w:line="270" w:lineRule="exact"/>
        <w:jc w:val="both"/>
        <w:rPr>
          <w:color w:val="000000"/>
          <w:lang w:val="fr-FR"/>
        </w:rPr>
      </w:pPr>
    </w:p>
    <w:p w14:paraId="47AF63AC" w14:textId="77777777" w:rsidR="004D7A50" w:rsidRDefault="00E669DC">
      <w:pPr>
        <w:pStyle w:val="ParagrapheIndent2"/>
        <w:spacing w:line="270"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Une liste de prestataires est disponible sur le site de l'ANSSI (</w:t>
      </w:r>
      <w:hyperlink r:id="rId22" w:history="1">
        <w:r>
          <w:rPr>
            <w:color w:val="000000"/>
            <w:lang w:val="fr-FR"/>
          </w:rPr>
          <w:t>https://cyber.gouv.fr/obtenir-un-certificat-de-signature-electronique</w:t>
        </w:r>
      </w:hyperlink>
      <w:r>
        <w:rPr>
          <w:color w:val="000000"/>
          <w:lang w:val="fr-FR"/>
        </w:rPr>
        <w:t xml:space="preserve">).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47AF63AE" w14:textId="77777777" w:rsidR="004D7A50" w:rsidRDefault="00E669DC">
      <w:pPr>
        <w:pStyle w:val="ParagrapheIndent2"/>
        <w:spacing w:after="240" w:line="270"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47AF63AF" w14:textId="77777777" w:rsidR="004D7A50" w:rsidRDefault="00E669DC">
      <w:pPr>
        <w:pStyle w:val="ParagrapheIndent2"/>
        <w:spacing w:line="270" w:lineRule="exact"/>
        <w:jc w:val="both"/>
        <w:rPr>
          <w:color w:val="000000"/>
          <w:lang w:val="fr-FR"/>
        </w:rPr>
      </w:pPr>
      <w:r>
        <w:rPr>
          <w:b/>
          <w:color w:val="000000"/>
          <w:lang w:val="fr-FR"/>
        </w:rPr>
        <w:t>La signature électronique du contrat par l'attributaire est exigée dans le cadre de cette consultation</w:t>
      </w:r>
      <w:r>
        <w:rPr>
          <w:color w:val="000000"/>
          <w:lang w:val="fr-FR"/>
        </w:rPr>
        <w:t>.</w:t>
      </w:r>
    </w:p>
    <w:p w14:paraId="47AF63B0" w14:textId="77777777" w:rsidR="004D7A50" w:rsidRDefault="00E669DC">
      <w:pPr>
        <w:pStyle w:val="ParagrapheIndent2"/>
        <w:spacing w:after="240" w:line="270" w:lineRule="exact"/>
        <w:jc w:val="both"/>
        <w:rPr>
          <w:color w:val="000000"/>
          <w:lang w:val="fr-FR"/>
        </w:rPr>
      </w:pPr>
      <w:r>
        <w:rPr>
          <w:color w:val="000000"/>
          <w:lang w:val="fr-FR"/>
        </w:rPr>
        <w:t>Le pouvoir adjudicateur n’impose pas la signature électronique au stade du dépôt des plis. Cependant, les candidats qui souhaitent signer les plis dès le dépôt des offres sont invités à suivre le lien https://www.marches-publics.info/pratique-signature.htm.</w:t>
      </w:r>
    </w:p>
    <w:p w14:paraId="47AF63B1" w14:textId="77777777" w:rsidR="004D7A50" w:rsidRDefault="00E669DC">
      <w:pPr>
        <w:pStyle w:val="ParagrapheIndent2"/>
        <w:spacing w:after="240" w:line="270"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14:paraId="587498D3" w14:textId="216B441C" w:rsidR="00824C20" w:rsidRPr="00E83886" w:rsidRDefault="00E669DC" w:rsidP="00E83886">
      <w:pPr>
        <w:pStyle w:val="ParagrapheIndent2"/>
        <w:spacing w:after="240" w:line="270" w:lineRule="exact"/>
        <w:jc w:val="both"/>
        <w:rPr>
          <w:color w:val="000000"/>
          <w:lang w:val="fr-FR"/>
        </w:rPr>
      </w:pPr>
      <w:r>
        <w:rPr>
          <w:color w:val="000000"/>
          <w:lang w:val="fr-FR"/>
        </w:rPr>
        <w:t>Les frais d'accès au réseau et de recours à la signature électronique sont à la charge des candidats.</w:t>
      </w:r>
    </w:p>
    <w:p w14:paraId="02D22F59" w14:textId="77777777" w:rsidR="00824C20" w:rsidRPr="00824C20" w:rsidRDefault="00824C20" w:rsidP="00824C20">
      <w:pPr>
        <w:rPr>
          <w:lang w:val="fr-FR"/>
        </w:rPr>
      </w:pPr>
    </w:p>
    <w:p w14:paraId="47AF63B3" w14:textId="77777777" w:rsidR="004D7A50" w:rsidRDefault="00E669DC">
      <w:pPr>
        <w:pStyle w:val="ParagrapheIndent2"/>
        <w:spacing w:line="270"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47AF63B4" w14:textId="77777777" w:rsidR="004D7A50" w:rsidRDefault="004D7A50">
      <w:pPr>
        <w:pStyle w:val="ParagrapheIndent2"/>
        <w:spacing w:line="270" w:lineRule="exact"/>
        <w:jc w:val="both"/>
        <w:rPr>
          <w:color w:val="000000"/>
          <w:lang w:val="fr-FR"/>
        </w:rPr>
      </w:pPr>
    </w:p>
    <w:p w14:paraId="47AF63B5" w14:textId="77777777" w:rsidR="004D7A50" w:rsidRDefault="00E669DC">
      <w:pPr>
        <w:pStyle w:val="ParagrapheIndent2"/>
        <w:spacing w:line="270"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47AF63B6" w14:textId="77777777" w:rsidR="004D7A50" w:rsidRDefault="004D7A50">
      <w:pPr>
        <w:pStyle w:val="ParagrapheIndent2"/>
        <w:spacing w:line="270" w:lineRule="exact"/>
        <w:jc w:val="both"/>
        <w:rPr>
          <w:color w:val="000000"/>
          <w:lang w:val="fr-FR"/>
        </w:rPr>
      </w:pPr>
    </w:p>
    <w:p w14:paraId="47AF63B7" w14:textId="77777777" w:rsidR="004D7A50" w:rsidRDefault="00E669DC">
      <w:pPr>
        <w:pStyle w:val="ParagrapheIndent2"/>
        <w:spacing w:line="270"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7AF63B9" w14:textId="77777777" w:rsidR="004D7A50" w:rsidRDefault="00E669DC">
      <w:pPr>
        <w:pStyle w:val="ParagrapheIndent2"/>
        <w:spacing w:line="270" w:lineRule="exact"/>
        <w:jc w:val="both"/>
        <w:rPr>
          <w:color w:val="000000"/>
          <w:lang w:val="fr-FR"/>
        </w:rPr>
      </w:pPr>
      <w:r>
        <w:rPr>
          <w:color w:val="000000"/>
          <w:lang w:val="fr-FR"/>
        </w:rPr>
        <w:t>L'ensemble de ces services est fourni gratuitement au candidat.</w:t>
      </w:r>
    </w:p>
    <w:p w14:paraId="47AF63BA" w14:textId="77777777" w:rsidR="004D7A50" w:rsidRDefault="004D7A50">
      <w:pPr>
        <w:pStyle w:val="ParagrapheIndent2"/>
        <w:spacing w:line="270" w:lineRule="exact"/>
        <w:jc w:val="both"/>
        <w:rPr>
          <w:color w:val="000000"/>
          <w:lang w:val="fr-FR"/>
        </w:rPr>
      </w:pPr>
    </w:p>
    <w:p w14:paraId="65B236B6" w14:textId="7A587A00" w:rsidR="00323BAE" w:rsidRDefault="00E669DC">
      <w:pPr>
        <w:pStyle w:val="ParagrapheIndent2"/>
        <w:spacing w:line="270" w:lineRule="exact"/>
        <w:jc w:val="both"/>
        <w:rPr>
          <w:b/>
          <w:color w:val="000000"/>
          <w:u w:val="single"/>
          <w:lang w:val="fr-FR"/>
        </w:rPr>
      </w:pPr>
      <w:r>
        <w:rPr>
          <w:b/>
          <w:color w:val="000000"/>
          <w:u w:val="single"/>
          <w:lang w:val="fr-FR"/>
        </w:rPr>
        <w:t xml:space="preserve">Attention, la date et l'heure limites de dépôt s'entendent de manière stricte : </w:t>
      </w:r>
      <w:r w:rsidR="00DE5744">
        <w:rPr>
          <w:b/>
          <w:color w:val="000000"/>
          <w:u w:val="single"/>
          <w:lang w:val="fr-FR"/>
        </w:rPr>
        <w:t>20</w:t>
      </w:r>
      <w:r>
        <w:rPr>
          <w:b/>
          <w:color w:val="000000"/>
          <w:u w:val="single"/>
          <w:lang w:val="fr-FR"/>
        </w:rPr>
        <w:t>/1</w:t>
      </w:r>
      <w:r w:rsidR="00897B9C">
        <w:rPr>
          <w:b/>
          <w:color w:val="000000"/>
          <w:u w:val="single"/>
          <w:lang w:val="fr-FR"/>
        </w:rPr>
        <w:t>1</w:t>
      </w:r>
      <w:r>
        <w:rPr>
          <w:b/>
          <w:color w:val="000000"/>
          <w:u w:val="single"/>
          <w:lang w:val="fr-FR"/>
        </w:rPr>
        <w:t xml:space="preserve">/2026 </w:t>
      </w:r>
      <w:proofErr w:type="gramStart"/>
      <w:r>
        <w:rPr>
          <w:b/>
          <w:color w:val="000000"/>
          <w:u w:val="single"/>
          <w:lang w:val="fr-FR"/>
        </w:rPr>
        <w:t>12:</w:t>
      </w:r>
      <w:proofErr w:type="gramEnd"/>
      <w:r>
        <w:rPr>
          <w:b/>
          <w:color w:val="000000"/>
          <w:u w:val="single"/>
          <w:lang w:val="fr-FR"/>
        </w:rPr>
        <w:t>00</w:t>
      </w:r>
    </w:p>
    <w:p w14:paraId="39D76BB2" w14:textId="77777777" w:rsidR="00323BAE" w:rsidRPr="00323BAE" w:rsidRDefault="00323BAE" w:rsidP="00323BAE">
      <w:pPr>
        <w:rPr>
          <w:lang w:val="fr-FR"/>
        </w:rPr>
      </w:pPr>
    </w:p>
    <w:tbl>
      <w:tblPr>
        <w:tblW w:w="0" w:type="auto"/>
        <w:tblInd w:w="500" w:type="dxa"/>
        <w:tblLayout w:type="fixed"/>
        <w:tblLook w:val="04A0" w:firstRow="1" w:lastRow="0" w:firstColumn="1" w:lastColumn="0" w:noHBand="0" w:noVBand="1"/>
      </w:tblPr>
      <w:tblGrid>
        <w:gridCol w:w="8600"/>
      </w:tblGrid>
      <w:tr w:rsidR="004D7A50" w14:paraId="47AF63C9"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4D7A50" w14:paraId="47AF63BF" w14:textId="77777777">
              <w:trPr>
                <w:trHeight w:val="40"/>
              </w:trPr>
              <w:tc>
                <w:tcPr>
                  <w:tcW w:w="400" w:type="dxa"/>
                  <w:tcMar>
                    <w:top w:w="0" w:type="dxa"/>
                    <w:left w:w="0" w:type="dxa"/>
                    <w:bottom w:w="0" w:type="dxa"/>
                    <w:right w:w="0" w:type="dxa"/>
                  </w:tcMar>
                </w:tcPr>
                <w:p w14:paraId="47AF63BC" w14:textId="77777777" w:rsidR="004D7A50" w:rsidRDefault="004D7A50">
                  <w:pPr>
                    <w:rPr>
                      <w:sz w:val="2"/>
                    </w:rPr>
                  </w:pPr>
                </w:p>
              </w:tc>
              <w:tc>
                <w:tcPr>
                  <w:tcW w:w="300" w:type="dxa"/>
                  <w:tcMar>
                    <w:top w:w="0" w:type="dxa"/>
                    <w:left w:w="0" w:type="dxa"/>
                    <w:bottom w:w="0" w:type="dxa"/>
                    <w:right w:w="0" w:type="dxa"/>
                  </w:tcMar>
                </w:tcPr>
                <w:p w14:paraId="47AF63BD" w14:textId="77777777" w:rsidR="004D7A50" w:rsidRDefault="004D7A50">
                  <w:pPr>
                    <w:rPr>
                      <w:sz w:val="2"/>
                    </w:rPr>
                  </w:pPr>
                </w:p>
              </w:tc>
              <w:tc>
                <w:tcPr>
                  <w:tcW w:w="7300" w:type="dxa"/>
                  <w:vMerge w:val="restart"/>
                  <w:tcMar>
                    <w:top w:w="0" w:type="dxa"/>
                    <w:left w:w="0" w:type="dxa"/>
                    <w:bottom w:w="0" w:type="dxa"/>
                    <w:right w:w="0" w:type="dxa"/>
                  </w:tcMar>
                  <w:vAlign w:val="center"/>
                </w:tcPr>
                <w:p w14:paraId="47AF63BE" w14:textId="77777777" w:rsidR="004D7A50" w:rsidRDefault="00E669DC">
                  <w:pPr>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Pensez à anticiper votre dépôt 48 heures avant l'heure limite</w:t>
                  </w:r>
                </w:p>
              </w:tc>
            </w:tr>
            <w:tr w:rsidR="004D7A50" w14:paraId="47AF63C3" w14:textId="77777777">
              <w:trPr>
                <w:trHeight w:val="385"/>
              </w:trPr>
              <w:tc>
                <w:tcPr>
                  <w:tcW w:w="400" w:type="dxa"/>
                  <w:tcMar>
                    <w:top w:w="0" w:type="dxa"/>
                    <w:left w:w="0" w:type="dxa"/>
                    <w:bottom w:w="0" w:type="dxa"/>
                    <w:right w:w="0" w:type="dxa"/>
                  </w:tcMar>
                </w:tcPr>
                <w:p w14:paraId="47AF63C0" w14:textId="77777777" w:rsidR="004D7A50" w:rsidRDefault="00000000">
                  <w:pPr>
                    <w:rPr>
                      <w:sz w:val="2"/>
                    </w:rPr>
                  </w:pPr>
                  <w:r>
                    <w:pict w14:anchorId="47AF643D">
                      <v:shape id="_x0000_i1038" type="#_x0000_t75" style="width:20.25pt;height:20.25pt">
                        <v:imagedata r:id="rId23" o:title=""/>
                      </v:shape>
                    </w:pict>
                  </w:r>
                </w:p>
              </w:tc>
              <w:tc>
                <w:tcPr>
                  <w:tcW w:w="300" w:type="dxa"/>
                  <w:tcMar>
                    <w:top w:w="0" w:type="dxa"/>
                    <w:left w:w="0" w:type="dxa"/>
                    <w:bottom w:w="0" w:type="dxa"/>
                    <w:right w:w="0" w:type="dxa"/>
                  </w:tcMar>
                </w:tcPr>
                <w:p w14:paraId="47AF63C1" w14:textId="77777777" w:rsidR="004D7A50" w:rsidRDefault="004D7A50">
                  <w:pPr>
                    <w:rPr>
                      <w:sz w:val="2"/>
                    </w:rPr>
                  </w:pPr>
                </w:p>
              </w:tc>
              <w:tc>
                <w:tcPr>
                  <w:tcW w:w="7300" w:type="dxa"/>
                  <w:vMerge/>
                  <w:tcMar>
                    <w:top w:w="0" w:type="dxa"/>
                    <w:left w:w="0" w:type="dxa"/>
                    <w:bottom w:w="0" w:type="dxa"/>
                    <w:right w:w="0" w:type="dxa"/>
                  </w:tcMar>
                </w:tcPr>
                <w:p w14:paraId="47AF63C2" w14:textId="77777777" w:rsidR="004D7A50" w:rsidRDefault="004D7A50"/>
              </w:tc>
            </w:tr>
            <w:tr w:rsidR="004D7A50" w14:paraId="47AF63C7" w14:textId="77777777">
              <w:trPr>
                <w:trHeight w:val="45"/>
              </w:trPr>
              <w:tc>
                <w:tcPr>
                  <w:tcW w:w="400" w:type="dxa"/>
                  <w:tcMar>
                    <w:top w:w="0" w:type="dxa"/>
                    <w:left w:w="0" w:type="dxa"/>
                    <w:bottom w:w="0" w:type="dxa"/>
                    <w:right w:w="0" w:type="dxa"/>
                  </w:tcMar>
                </w:tcPr>
                <w:p w14:paraId="47AF63C4" w14:textId="77777777" w:rsidR="004D7A50" w:rsidRDefault="004D7A50">
                  <w:pPr>
                    <w:rPr>
                      <w:sz w:val="2"/>
                    </w:rPr>
                  </w:pPr>
                </w:p>
              </w:tc>
              <w:tc>
                <w:tcPr>
                  <w:tcW w:w="300" w:type="dxa"/>
                  <w:tcMar>
                    <w:top w:w="0" w:type="dxa"/>
                    <w:left w:w="0" w:type="dxa"/>
                    <w:bottom w:w="0" w:type="dxa"/>
                    <w:right w:w="0" w:type="dxa"/>
                  </w:tcMar>
                </w:tcPr>
                <w:p w14:paraId="47AF63C5" w14:textId="77777777" w:rsidR="004D7A50" w:rsidRDefault="004D7A50">
                  <w:pPr>
                    <w:rPr>
                      <w:sz w:val="2"/>
                    </w:rPr>
                  </w:pPr>
                </w:p>
              </w:tc>
              <w:tc>
                <w:tcPr>
                  <w:tcW w:w="7300" w:type="dxa"/>
                  <w:vMerge/>
                  <w:tcMar>
                    <w:top w:w="0" w:type="dxa"/>
                    <w:left w:w="0" w:type="dxa"/>
                    <w:bottom w:w="0" w:type="dxa"/>
                    <w:right w:w="0" w:type="dxa"/>
                  </w:tcMar>
                </w:tcPr>
                <w:p w14:paraId="47AF63C6" w14:textId="77777777" w:rsidR="004D7A50" w:rsidRDefault="004D7A50"/>
              </w:tc>
            </w:tr>
          </w:tbl>
          <w:p w14:paraId="47AF63C8" w14:textId="77777777" w:rsidR="004D7A50" w:rsidRDefault="004D7A50">
            <w:pPr>
              <w:rPr>
                <w:sz w:val="2"/>
              </w:rPr>
            </w:pPr>
          </w:p>
        </w:tc>
      </w:tr>
    </w:tbl>
    <w:p w14:paraId="47AF63CA" w14:textId="77777777" w:rsidR="004D7A50" w:rsidRDefault="00E669DC">
      <w:pPr>
        <w:spacing w:line="240" w:lineRule="exact"/>
      </w:pPr>
      <w:r>
        <w:t xml:space="preserve"> </w:t>
      </w:r>
    </w:p>
    <w:p w14:paraId="47AF63CB"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46" w:name="ArtL2_RC-2-A8.5"/>
      <w:bookmarkStart w:id="47" w:name="_Toc241676029"/>
      <w:bookmarkEnd w:id="46"/>
      <w:r>
        <w:rPr>
          <w:rFonts w:ascii="Century Gothic" w:eastAsia="Century Gothic" w:hAnsi="Century Gothic" w:cs="Century Gothic"/>
          <w:i w:val="0"/>
          <w:color w:val="000000"/>
          <w:sz w:val="24"/>
          <w:lang w:val="fr-FR"/>
        </w:rPr>
        <w:t>6.2 - Transmission sous support papier</w:t>
      </w:r>
      <w:bookmarkEnd w:id="47"/>
    </w:p>
    <w:p w14:paraId="47AF63CC" w14:textId="77777777" w:rsidR="004D7A50" w:rsidRDefault="00E669DC">
      <w:pPr>
        <w:pStyle w:val="ParagrapheIndent2"/>
        <w:spacing w:after="240" w:line="270"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47AF63CD"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48" w:name="ArtL1_RC-2-A10"/>
      <w:bookmarkStart w:id="49" w:name="_Toc241676030"/>
      <w:bookmarkEnd w:id="48"/>
      <w:r>
        <w:rPr>
          <w:rFonts w:ascii="Century Gothic" w:eastAsia="Century Gothic" w:hAnsi="Century Gothic" w:cs="Century Gothic"/>
          <w:color w:val="FFFFFF"/>
          <w:sz w:val="28"/>
          <w:lang w:val="fr-FR"/>
        </w:rPr>
        <w:t>7 - Examen des candidatures et des offres</w:t>
      </w:r>
      <w:bookmarkEnd w:id="49"/>
    </w:p>
    <w:p w14:paraId="47AF63CE" w14:textId="77777777" w:rsidR="004D7A50" w:rsidRDefault="00E669DC">
      <w:pPr>
        <w:spacing w:line="60" w:lineRule="exact"/>
        <w:rPr>
          <w:sz w:val="6"/>
        </w:rPr>
      </w:pPr>
      <w:r>
        <w:t xml:space="preserve"> </w:t>
      </w:r>
    </w:p>
    <w:p w14:paraId="47AF63CF"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50" w:name="ArtL2_RC-2-A10.1"/>
      <w:bookmarkStart w:id="51" w:name="_Toc241676031"/>
      <w:bookmarkEnd w:id="50"/>
      <w:r>
        <w:rPr>
          <w:rFonts w:ascii="Century Gothic" w:eastAsia="Century Gothic" w:hAnsi="Century Gothic" w:cs="Century Gothic"/>
          <w:i w:val="0"/>
          <w:color w:val="000000"/>
          <w:sz w:val="24"/>
          <w:lang w:val="fr-FR"/>
        </w:rPr>
        <w:t>7.1 - Sélection des candidatures</w:t>
      </w:r>
      <w:bookmarkEnd w:id="51"/>
    </w:p>
    <w:p w14:paraId="47AF63D0" w14:textId="77777777" w:rsidR="004D7A50" w:rsidRDefault="00E669DC">
      <w:pPr>
        <w:pStyle w:val="ParagrapheIndent2"/>
        <w:spacing w:line="270"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7AF63D1" w14:textId="77777777" w:rsidR="004D7A50" w:rsidRDefault="004D7A50">
      <w:pPr>
        <w:pStyle w:val="ParagrapheIndent2"/>
        <w:spacing w:line="270" w:lineRule="exact"/>
        <w:jc w:val="both"/>
        <w:rPr>
          <w:color w:val="000000"/>
          <w:lang w:val="fr-FR"/>
        </w:rPr>
      </w:pPr>
    </w:p>
    <w:p w14:paraId="47AF63D3" w14:textId="79A37777" w:rsidR="004D7A50" w:rsidRDefault="00E669DC" w:rsidP="008B57C1">
      <w:pPr>
        <w:pStyle w:val="ParagrapheIndent2"/>
        <w:spacing w:line="270" w:lineRule="exact"/>
        <w:jc w:val="both"/>
        <w:rPr>
          <w:color w:val="000000"/>
          <w:lang w:val="fr-FR"/>
        </w:rPr>
      </w:pPr>
      <w:r>
        <w:rPr>
          <w:color w:val="000000"/>
          <w:lang w:val="fr-FR"/>
        </w:rPr>
        <w:t>Le pouvoir adjudicateur se réserve la possibilité de procéder à une régularisation des candidatures.</w:t>
      </w:r>
    </w:p>
    <w:p w14:paraId="011F8FB7" w14:textId="77777777" w:rsidR="008B57C1" w:rsidRPr="008B57C1" w:rsidRDefault="008B57C1" w:rsidP="008B57C1">
      <w:pPr>
        <w:rPr>
          <w:lang w:val="fr-FR"/>
        </w:rPr>
      </w:pPr>
    </w:p>
    <w:p w14:paraId="47AF63D4"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52" w:name="ArtL2_RC-2-A10.3"/>
      <w:bookmarkStart w:id="53" w:name="_Toc241676032"/>
      <w:bookmarkEnd w:id="52"/>
      <w:r>
        <w:rPr>
          <w:rFonts w:ascii="Century Gothic" w:eastAsia="Century Gothic" w:hAnsi="Century Gothic" w:cs="Century Gothic"/>
          <w:i w:val="0"/>
          <w:color w:val="000000"/>
          <w:sz w:val="24"/>
          <w:lang w:val="fr-FR"/>
        </w:rPr>
        <w:t>7.2 - Attribution des accords-cadres</w:t>
      </w:r>
      <w:bookmarkEnd w:id="53"/>
    </w:p>
    <w:p w14:paraId="47AF63D6" w14:textId="77243DAA" w:rsidR="004D7A50" w:rsidRDefault="00E669DC" w:rsidP="008B57C1">
      <w:pPr>
        <w:pStyle w:val="ParagrapheIndent2"/>
        <w:spacing w:line="270" w:lineRule="exact"/>
        <w:jc w:val="both"/>
        <w:rPr>
          <w:color w:val="000000"/>
          <w:lang w:val="fr-FR"/>
        </w:rPr>
      </w:pPr>
      <w:r>
        <w:rPr>
          <w:color w:val="000000"/>
          <w:lang w:val="fr-FR"/>
        </w:rPr>
        <w:t xml:space="preserve">Le jugement des offres sera effectué dans les conditions prévues aux articles L.2152-1 à L.2152-4, R. 2152-1 et R. 2152-2 du Code de la </w:t>
      </w:r>
      <w:r w:rsidR="00916C00">
        <w:rPr>
          <w:color w:val="000000"/>
          <w:lang w:val="fr-FR"/>
        </w:rPr>
        <w:t>C</w:t>
      </w:r>
      <w:r>
        <w:rPr>
          <w:color w:val="000000"/>
          <w:lang w:val="fr-FR"/>
        </w:rPr>
        <w:t xml:space="preserve">ommande </w:t>
      </w:r>
      <w:r w:rsidR="00916C00">
        <w:rPr>
          <w:color w:val="000000"/>
          <w:lang w:val="fr-FR"/>
        </w:rPr>
        <w:t>P</w:t>
      </w:r>
      <w:r>
        <w:rPr>
          <w:color w:val="000000"/>
          <w:lang w:val="fr-FR"/>
        </w:rPr>
        <w:t>ublique et donnera lieu à un classement des offres.</w:t>
      </w:r>
    </w:p>
    <w:p w14:paraId="180912BE" w14:textId="77777777" w:rsidR="00824C20" w:rsidRPr="008B57C1" w:rsidRDefault="00824C20" w:rsidP="008B57C1">
      <w:pPr>
        <w:rPr>
          <w:lang w:val="fr-FR"/>
        </w:rPr>
      </w:pPr>
    </w:p>
    <w:p w14:paraId="47AF63D7" w14:textId="77777777" w:rsidR="004D7A50" w:rsidRDefault="00E669DC">
      <w:pPr>
        <w:pStyle w:val="ParagrapheIndent2"/>
        <w:spacing w:line="270" w:lineRule="exact"/>
        <w:jc w:val="both"/>
        <w:rPr>
          <w:color w:val="000000"/>
          <w:lang w:val="fr-FR"/>
        </w:rPr>
      </w:pPr>
      <w:r>
        <w:rPr>
          <w:color w:val="000000"/>
          <w:lang w:val="fr-FR"/>
        </w:rPr>
        <w:t>Les critères retenus pour le jugement des offres sont pondérés de la manière suivante :</w:t>
      </w:r>
    </w:p>
    <w:p w14:paraId="08BB60B1" w14:textId="77777777" w:rsidR="00C36093" w:rsidRPr="00C36093" w:rsidRDefault="00C36093" w:rsidP="00C36093">
      <w:pPr>
        <w:rPr>
          <w:lang w:val="fr-FR"/>
        </w:rPr>
      </w:pPr>
    </w:p>
    <w:p w14:paraId="47AF63D8" w14:textId="77777777" w:rsidR="004D7A50" w:rsidRDefault="004D7A50">
      <w:pPr>
        <w:pStyle w:val="ParagrapheIndent2"/>
        <w:spacing w:line="270" w:lineRule="exact"/>
        <w:jc w:val="both"/>
        <w:rPr>
          <w:color w:val="000000"/>
          <w:lang w:val="fr-FR"/>
        </w:rPr>
      </w:pPr>
    </w:p>
    <w:p w14:paraId="47AF63D9" w14:textId="6555DCA2" w:rsidR="004D7A50" w:rsidRDefault="00E669DC">
      <w:pPr>
        <w:spacing w:line="270" w:lineRule="exact"/>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lastRenderedPageBreak/>
        <w:t>Pour le lot n°01</w:t>
      </w:r>
      <w:r w:rsidR="00630607">
        <w:rPr>
          <w:rFonts w:ascii="Century Gothic" w:eastAsia="Century Gothic" w:hAnsi="Century Gothic" w:cs="Century Gothic"/>
          <w:color w:val="000000"/>
          <w:sz w:val="22"/>
          <w:lang w:val="fr-FR"/>
        </w:rPr>
        <w:t xml:space="preserve"> : </w:t>
      </w:r>
    </w:p>
    <w:p w14:paraId="47AF63DA" w14:textId="77777777" w:rsidR="004D7A50" w:rsidRDefault="004D7A50">
      <w:pPr>
        <w:spacing w:line="270" w:lineRule="exact"/>
        <w:ind w:right="1020"/>
        <w:jc w:val="both"/>
        <w:rPr>
          <w:rFonts w:ascii="Century Gothic" w:eastAsia="Century Gothic" w:hAnsi="Century Gothic" w:cs="Century Gothic"/>
          <w:color w:val="000000"/>
          <w:sz w:val="22"/>
          <w:lang w:val="fr-FR"/>
        </w:rPr>
      </w:pPr>
    </w:p>
    <w:tbl>
      <w:tblPr>
        <w:tblW w:w="0" w:type="auto"/>
        <w:tblLayout w:type="fixed"/>
        <w:tblLook w:val="04A0" w:firstRow="1" w:lastRow="0" w:firstColumn="1" w:lastColumn="0" w:noHBand="0" w:noVBand="1"/>
      </w:tblPr>
      <w:tblGrid>
        <w:gridCol w:w="7800"/>
        <w:gridCol w:w="1800"/>
      </w:tblGrid>
      <w:tr w:rsidR="004D7A50" w14:paraId="47AF63DD"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DB"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DC" w14:textId="14416266" w:rsidR="004D7A50" w:rsidRDefault="00AA4BF2">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4D3F88" w14:paraId="47AF63E0" w14:textId="77777777" w:rsidTr="003E0921">
        <w:trPr>
          <w:trHeight w:val="62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DE" w14:textId="6BFD4916" w:rsidR="004D3F88" w:rsidRDefault="004D3F88" w:rsidP="004D3F8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 Prix total HT du BPU</w:t>
            </w:r>
            <w:r w:rsidR="00475686">
              <w:rPr>
                <w:rFonts w:ascii="Century Gothic" w:eastAsia="Century Gothic" w:hAnsi="Century Gothic" w:cs="Century Gothic"/>
                <w:color w:val="000000"/>
                <w:sz w:val="22"/>
                <w:lang w:val="fr-FR"/>
              </w:rPr>
              <w:t>-</w:t>
            </w:r>
            <w:r>
              <w:rPr>
                <w:rFonts w:ascii="Century Gothic" w:eastAsia="Century Gothic" w:hAnsi="Century Gothic" w:cs="Century Gothic"/>
                <w:color w:val="000000"/>
                <w:sz w:val="22"/>
                <w:lang w:val="fr-FR"/>
              </w:rPr>
              <w:t xml:space="preserve">DQE-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DF" w14:textId="2B53FC03" w:rsidR="004D3F88" w:rsidRDefault="005963A4"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50 points</w:t>
            </w:r>
          </w:p>
        </w:tc>
      </w:tr>
      <w:tr w:rsidR="004D3F88" w14:paraId="47AF63E3"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1" w14:textId="10E940A3" w:rsidR="004D3F88" w:rsidRDefault="00CA2DA1" w:rsidP="004D3F8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w:t>
            </w:r>
            <w:r w:rsidR="004D3F88">
              <w:rPr>
                <w:rFonts w:ascii="Century Gothic" w:eastAsia="Century Gothic" w:hAnsi="Century Gothic" w:cs="Century Gothic"/>
                <w:color w:val="000000"/>
                <w:sz w:val="22"/>
                <w:lang w:val="fr-FR"/>
              </w:rPr>
              <w:t>- Valeur technique appréciée au regard du cadre de mémoire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2" w14:textId="6762BC4D" w:rsidR="004D3F88" w:rsidRDefault="004D3F88"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25 points </w:t>
            </w:r>
          </w:p>
        </w:tc>
      </w:tr>
      <w:tr w:rsidR="004D3F88" w14:paraId="47AF63E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4" w14:textId="5B0C3E3E" w:rsidR="004D3F88" w:rsidRDefault="00CA2DA1"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w:t>
            </w:r>
            <w:r w:rsidR="004D3F88">
              <w:rPr>
                <w:rFonts w:ascii="Century Gothic" w:eastAsia="Century Gothic" w:hAnsi="Century Gothic" w:cs="Century Gothic"/>
                <w:color w:val="000000"/>
                <w:sz w:val="22"/>
                <w:lang w:val="fr-FR"/>
              </w:rPr>
              <w:t xml:space="preserve">- </w:t>
            </w:r>
            <w:r w:rsidR="00401167">
              <w:rPr>
                <w:rFonts w:ascii="Century Gothic" w:eastAsia="Century Gothic" w:hAnsi="Century Gothic" w:cs="Century Gothic"/>
                <w:color w:val="000000"/>
                <w:sz w:val="22"/>
                <w:lang w:val="fr-FR"/>
              </w:rPr>
              <w:t>Valeur</w:t>
            </w:r>
            <w:r w:rsidR="004D3F88">
              <w:rPr>
                <w:rFonts w:ascii="Century Gothic" w:eastAsia="Century Gothic" w:hAnsi="Century Gothic" w:cs="Century Gothic"/>
                <w:color w:val="000000"/>
                <w:sz w:val="22"/>
                <w:lang w:val="fr-FR"/>
              </w:rPr>
              <w:t xml:space="preserve"> environnementale</w:t>
            </w:r>
            <w:r w:rsidR="001D67A1">
              <w:rPr>
                <w:rFonts w:ascii="Century Gothic" w:eastAsia="Century Gothic" w:hAnsi="Century Gothic" w:cs="Century Gothic"/>
                <w:color w:val="000000"/>
                <w:sz w:val="22"/>
                <w:lang w:val="fr-FR"/>
              </w:rPr>
              <w:t xml:space="preserve"> appréciée</w:t>
            </w:r>
            <w:r w:rsidR="004D3F88">
              <w:rPr>
                <w:rFonts w:ascii="Century Gothic" w:eastAsia="Century Gothic" w:hAnsi="Century Gothic" w:cs="Century Gothic"/>
                <w:color w:val="000000"/>
                <w:sz w:val="22"/>
                <w:lang w:val="fr-FR"/>
              </w:rPr>
              <w:t xml:space="preserve"> au regard du cadre de mémoire </w:t>
            </w:r>
            <w:r w:rsidR="00EF7740">
              <w:rPr>
                <w:rFonts w:ascii="Century Gothic" w:eastAsia="Century Gothic" w:hAnsi="Century Gothic" w:cs="Century Gothic"/>
                <w:color w:val="000000"/>
                <w:sz w:val="22"/>
                <w:lang w:val="fr-FR"/>
              </w:rPr>
              <w:t xml:space="preserve">et des renseignements </w:t>
            </w:r>
            <w:r w:rsidR="00301CE5">
              <w:rPr>
                <w:rFonts w:ascii="Century Gothic" w:eastAsia="Century Gothic" w:hAnsi="Century Gothic" w:cs="Century Gothic"/>
                <w:color w:val="000000"/>
                <w:sz w:val="22"/>
                <w:lang w:val="fr-FR"/>
              </w:rPr>
              <w:t xml:space="preserve">fournis dans le BPU-DQE </w:t>
            </w:r>
            <w:r w:rsidR="004D3F88">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5" w14:textId="09292370" w:rsidR="004D3F88" w:rsidRDefault="004D3F88"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15 points </w:t>
            </w:r>
          </w:p>
        </w:tc>
      </w:tr>
      <w:tr w:rsidR="004D3F88" w14:paraId="47AF63E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7" w14:textId="6F52E2A6" w:rsidR="004D3F88" w:rsidRDefault="00CA2DA1"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4</w:t>
            </w:r>
            <w:r w:rsidR="004D3F88">
              <w:rPr>
                <w:rFonts w:ascii="Century Gothic" w:eastAsia="Century Gothic" w:hAnsi="Century Gothic" w:cs="Century Gothic"/>
                <w:color w:val="000000"/>
                <w:sz w:val="22"/>
                <w:lang w:val="fr-FR"/>
              </w:rPr>
              <w:t>-Performance technique des produits proposés appréciée au regard des fiches techniques</w:t>
            </w:r>
            <w:r w:rsidR="00CE1F23">
              <w:rPr>
                <w:rFonts w:ascii="Century Gothic" w:eastAsia="Century Gothic" w:hAnsi="Century Gothic" w:cs="Century Gothic"/>
                <w:color w:val="000000"/>
                <w:sz w:val="22"/>
                <w:lang w:val="fr-FR"/>
              </w:rPr>
              <w:t xml:space="preserve"> - </w:t>
            </w:r>
            <w:r w:rsidR="00CE1F23">
              <w:rPr>
                <w:rFonts w:ascii="Century Gothic" w:eastAsia="Century Gothic" w:hAnsi="Century Gothic" w:cs="Century Gothic"/>
                <w:color w:val="000000"/>
                <w:sz w:val="22"/>
                <w:lang w:val="fr-FR"/>
              </w:rPr>
              <w:t>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8" w14:textId="12D348B7" w:rsidR="004D3F88" w:rsidRDefault="004D3F88" w:rsidP="004D3F8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10 points </w:t>
            </w:r>
          </w:p>
        </w:tc>
      </w:tr>
    </w:tbl>
    <w:p w14:paraId="42368483" w14:textId="77777777" w:rsidR="00F10000" w:rsidRDefault="00F10000">
      <w:pPr>
        <w:spacing w:line="270" w:lineRule="exact"/>
        <w:ind w:right="1020"/>
        <w:jc w:val="both"/>
        <w:rPr>
          <w:rFonts w:ascii="Century Gothic" w:eastAsia="Century Gothic" w:hAnsi="Century Gothic" w:cs="Century Gothic"/>
          <w:color w:val="000000"/>
          <w:sz w:val="22"/>
          <w:lang w:val="fr-FR"/>
        </w:rPr>
      </w:pPr>
    </w:p>
    <w:p w14:paraId="47AF63EA" w14:textId="61C8FE15" w:rsidR="004D7A50" w:rsidRDefault="00E669DC">
      <w:pPr>
        <w:spacing w:line="270" w:lineRule="exact"/>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les lots n°02</w:t>
      </w:r>
      <w:r w:rsidR="00897B9C">
        <w:rPr>
          <w:rFonts w:ascii="Century Gothic" w:eastAsia="Century Gothic" w:hAnsi="Century Gothic" w:cs="Century Gothic"/>
          <w:color w:val="000000"/>
          <w:sz w:val="22"/>
          <w:lang w:val="fr-FR"/>
        </w:rPr>
        <w:t xml:space="preserve"> et </w:t>
      </w:r>
      <w:r>
        <w:rPr>
          <w:rFonts w:ascii="Century Gothic" w:eastAsia="Century Gothic" w:hAnsi="Century Gothic" w:cs="Century Gothic"/>
          <w:color w:val="000000"/>
          <w:sz w:val="22"/>
          <w:lang w:val="fr-FR"/>
        </w:rPr>
        <w:t>03</w:t>
      </w:r>
    </w:p>
    <w:p w14:paraId="47AF63EB" w14:textId="77777777" w:rsidR="004D7A50" w:rsidRDefault="004D7A50">
      <w:pPr>
        <w:spacing w:line="270" w:lineRule="exact"/>
        <w:ind w:right="1020"/>
        <w:jc w:val="both"/>
        <w:rPr>
          <w:rFonts w:ascii="Century Gothic" w:eastAsia="Century Gothic" w:hAnsi="Century Gothic" w:cs="Century Gothic"/>
          <w:color w:val="000000"/>
          <w:sz w:val="22"/>
          <w:lang w:val="fr-FR"/>
        </w:rPr>
      </w:pPr>
    </w:p>
    <w:tbl>
      <w:tblPr>
        <w:tblW w:w="0" w:type="auto"/>
        <w:tblLayout w:type="fixed"/>
        <w:tblLook w:val="04A0" w:firstRow="1" w:lastRow="0" w:firstColumn="1" w:lastColumn="0" w:noHBand="0" w:noVBand="1"/>
      </w:tblPr>
      <w:tblGrid>
        <w:gridCol w:w="7800"/>
        <w:gridCol w:w="1800"/>
      </w:tblGrid>
      <w:tr w:rsidR="004D7A50" w14:paraId="47AF63E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EC" w14:textId="77777777" w:rsidR="004D7A50" w:rsidRDefault="00E669DC">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F63ED" w14:textId="2182E629" w:rsidR="004D7A50" w:rsidRDefault="00AA4BF2">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773716" w14:paraId="47AF63F1"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EF" w14:textId="6EE9CCD9" w:rsidR="00773716" w:rsidRDefault="00773716" w:rsidP="00773716">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 Prix total HT du BPU</w:t>
            </w:r>
            <w:r w:rsidR="008A52DE">
              <w:rPr>
                <w:rFonts w:ascii="Century Gothic" w:eastAsia="Century Gothic" w:hAnsi="Century Gothic" w:cs="Century Gothic"/>
                <w:color w:val="000000"/>
                <w:sz w:val="22"/>
                <w:lang w:val="fr-FR"/>
              </w:rPr>
              <w:t>-</w:t>
            </w:r>
            <w:r>
              <w:rPr>
                <w:rFonts w:ascii="Century Gothic" w:eastAsia="Century Gothic" w:hAnsi="Century Gothic" w:cs="Century Gothic"/>
                <w:color w:val="000000"/>
                <w:sz w:val="22"/>
                <w:lang w:val="fr-FR"/>
              </w:rPr>
              <w:t xml:space="preserve">DQE-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0" w14:textId="4A84B481" w:rsidR="00773716" w:rsidRDefault="005963A4" w:rsidP="00773716">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50 points </w:t>
            </w:r>
          </w:p>
        </w:tc>
      </w:tr>
      <w:tr w:rsidR="004D7A50" w14:paraId="47AF63F4"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2" w14:textId="1F50104A" w:rsidR="004D7A50" w:rsidRDefault="00CA2DA1">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w:t>
            </w:r>
            <w:r w:rsidR="00E669DC">
              <w:rPr>
                <w:rFonts w:ascii="Century Gothic" w:eastAsia="Century Gothic" w:hAnsi="Century Gothic" w:cs="Century Gothic"/>
                <w:color w:val="000000"/>
                <w:sz w:val="22"/>
                <w:lang w:val="fr-FR"/>
              </w:rPr>
              <w:t>-</w:t>
            </w:r>
            <w:r w:rsidR="001A3D78">
              <w:rPr>
                <w:rFonts w:ascii="Century Gothic" w:eastAsia="Century Gothic" w:hAnsi="Century Gothic" w:cs="Century Gothic"/>
                <w:color w:val="000000"/>
                <w:sz w:val="22"/>
                <w:lang w:val="fr-FR"/>
              </w:rPr>
              <w:t xml:space="preserve"> Valeur technique appréciée au regard du cadre de mémoire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3" w14:textId="2F0F8A9D" w:rsidR="004D7A50" w:rsidRDefault="00E669DC">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30</w:t>
            </w:r>
            <w:r w:rsidR="00630607">
              <w:rPr>
                <w:rFonts w:ascii="Century Gothic" w:eastAsia="Century Gothic" w:hAnsi="Century Gothic" w:cs="Century Gothic"/>
                <w:color w:val="000000"/>
                <w:sz w:val="22"/>
                <w:lang w:val="fr-FR"/>
              </w:rPr>
              <w:t xml:space="preserve"> points</w:t>
            </w:r>
          </w:p>
        </w:tc>
      </w:tr>
      <w:tr w:rsidR="004D7A50" w14:paraId="47AF63F7"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5" w14:textId="1C678D19" w:rsidR="004D7A50" w:rsidRDefault="00CA2DA1">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w:t>
            </w:r>
            <w:r w:rsidR="00E669DC">
              <w:rPr>
                <w:rFonts w:ascii="Century Gothic" w:eastAsia="Century Gothic" w:hAnsi="Century Gothic" w:cs="Century Gothic"/>
                <w:color w:val="000000"/>
                <w:sz w:val="22"/>
                <w:lang w:val="fr-FR"/>
              </w:rPr>
              <w:t>-</w:t>
            </w:r>
            <w:r w:rsidR="00500FFA">
              <w:rPr>
                <w:rFonts w:ascii="Century Gothic" w:eastAsia="Century Gothic" w:hAnsi="Century Gothic" w:cs="Century Gothic"/>
                <w:color w:val="000000"/>
                <w:sz w:val="22"/>
                <w:lang w:val="fr-FR"/>
              </w:rPr>
              <w:t xml:space="preserve"> </w:t>
            </w:r>
            <w:r w:rsidR="00401167">
              <w:rPr>
                <w:rFonts w:ascii="Century Gothic" w:eastAsia="Century Gothic" w:hAnsi="Century Gothic" w:cs="Century Gothic"/>
                <w:color w:val="000000"/>
                <w:sz w:val="22"/>
                <w:lang w:val="fr-FR"/>
              </w:rPr>
              <w:t xml:space="preserve">Valeur </w:t>
            </w:r>
            <w:r w:rsidR="00500FFA">
              <w:rPr>
                <w:rFonts w:ascii="Century Gothic" w:eastAsia="Century Gothic" w:hAnsi="Century Gothic" w:cs="Century Gothic"/>
                <w:color w:val="000000"/>
                <w:sz w:val="22"/>
                <w:lang w:val="fr-FR"/>
              </w:rPr>
              <w:t>environnementale</w:t>
            </w:r>
            <w:r w:rsidR="001D67A1">
              <w:rPr>
                <w:rFonts w:ascii="Century Gothic" w:eastAsia="Century Gothic" w:hAnsi="Century Gothic" w:cs="Century Gothic"/>
                <w:color w:val="000000"/>
                <w:sz w:val="22"/>
                <w:lang w:val="fr-FR"/>
              </w:rPr>
              <w:t xml:space="preserve"> appréciée</w:t>
            </w:r>
            <w:r w:rsidR="00500FFA">
              <w:rPr>
                <w:rFonts w:ascii="Century Gothic" w:eastAsia="Century Gothic" w:hAnsi="Century Gothic" w:cs="Century Gothic"/>
                <w:color w:val="000000"/>
                <w:sz w:val="22"/>
                <w:lang w:val="fr-FR"/>
              </w:rPr>
              <w:t xml:space="preserve"> au regard du cadre de mémoire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6" w14:textId="133F34CB" w:rsidR="004D7A50" w:rsidRDefault="00E669DC">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w:t>
            </w:r>
            <w:r w:rsidR="00630607">
              <w:rPr>
                <w:rFonts w:ascii="Century Gothic" w:eastAsia="Century Gothic" w:hAnsi="Century Gothic" w:cs="Century Gothic"/>
                <w:color w:val="000000"/>
                <w:sz w:val="22"/>
                <w:lang w:val="fr-FR"/>
              </w:rPr>
              <w:t xml:space="preserve"> points</w:t>
            </w:r>
          </w:p>
        </w:tc>
      </w:tr>
      <w:tr w:rsidR="004D7A50" w14:paraId="47AF63F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8" w14:textId="25C190C0" w:rsidR="004D7A50" w:rsidRDefault="00CA2DA1">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4</w:t>
            </w:r>
            <w:r w:rsidR="00E669DC">
              <w:rPr>
                <w:rFonts w:ascii="Century Gothic" w:eastAsia="Century Gothic" w:hAnsi="Century Gothic" w:cs="Century Gothic"/>
                <w:color w:val="000000"/>
                <w:sz w:val="22"/>
                <w:lang w:val="fr-FR"/>
              </w:rPr>
              <w:t>-Performance technique</w:t>
            </w:r>
            <w:r w:rsidR="00B77E1A">
              <w:rPr>
                <w:rFonts w:ascii="Century Gothic" w:eastAsia="Century Gothic" w:hAnsi="Century Gothic" w:cs="Century Gothic"/>
                <w:color w:val="000000"/>
                <w:sz w:val="22"/>
                <w:lang w:val="fr-FR"/>
              </w:rPr>
              <w:t xml:space="preserve"> </w:t>
            </w:r>
            <w:r w:rsidR="008544AD">
              <w:rPr>
                <w:rFonts w:ascii="Century Gothic" w:eastAsia="Century Gothic" w:hAnsi="Century Gothic" w:cs="Century Gothic"/>
                <w:color w:val="000000"/>
                <w:sz w:val="22"/>
                <w:lang w:val="fr-FR"/>
              </w:rPr>
              <w:t xml:space="preserve">des </w:t>
            </w:r>
            <w:r w:rsidR="00B77E1A">
              <w:rPr>
                <w:rFonts w:ascii="Century Gothic" w:eastAsia="Century Gothic" w:hAnsi="Century Gothic" w:cs="Century Gothic"/>
                <w:color w:val="000000"/>
                <w:sz w:val="22"/>
                <w:lang w:val="fr-FR"/>
              </w:rPr>
              <w:t>produits proposés appréciée au regard des fiches techniques</w:t>
            </w:r>
            <w:r w:rsidR="00CE1F23">
              <w:rPr>
                <w:rFonts w:ascii="Century Gothic" w:eastAsia="Century Gothic" w:hAnsi="Century Gothic" w:cs="Century Gothic"/>
                <w:color w:val="000000"/>
                <w:sz w:val="22"/>
                <w:lang w:val="fr-FR"/>
              </w:rPr>
              <w:t xml:space="preserve"> - </w:t>
            </w:r>
            <w:r w:rsidR="00CE1F23">
              <w:rPr>
                <w:rFonts w:ascii="Century Gothic" w:eastAsia="Century Gothic" w:hAnsi="Century Gothic" w:cs="Century Gothic"/>
                <w:color w:val="000000"/>
                <w:sz w:val="22"/>
                <w:lang w:val="fr-FR"/>
              </w:rPr>
              <w:t>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F63F9" w14:textId="70F6FDB7" w:rsidR="004D7A50" w:rsidRDefault="00E669DC">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w:t>
            </w:r>
            <w:r w:rsidR="00A02150">
              <w:rPr>
                <w:rFonts w:ascii="Century Gothic" w:eastAsia="Century Gothic" w:hAnsi="Century Gothic" w:cs="Century Gothic"/>
                <w:color w:val="000000"/>
                <w:sz w:val="22"/>
                <w:lang w:val="fr-FR"/>
              </w:rPr>
              <w:t xml:space="preserve"> points </w:t>
            </w:r>
          </w:p>
        </w:tc>
      </w:tr>
    </w:tbl>
    <w:p w14:paraId="5ECA7E92" w14:textId="77777777" w:rsidR="004D7A50" w:rsidRDefault="004D7A50">
      <w:pPr>
        <w:spacing w:line="100" w:lineRule="exact"/>
        <w:rPr>
          <w:rFonts w:ascii="Century Gothic" w:eastAsia="Century Gothic" w:hAnsi="Century Gothic" w:cs="Century Gothic"/>
          <w:color w:val="000000"/>
          <w:sz w:val="22"/>
          <w:lang w:val="fr-FR"/>
        </w:rPr>
      </w:pPr>
    </w:p>
    <w:p w14:paraId="034E94BB" w14:textId="77777777" w:rsidR="00824C20" w:rsidRPr="00562705" w:rsidRDefault="00824C20" w:rsidP="00562705">
      <w:pPr>
        <w:tabs>
          <w:tab w:val="left" w:pos="2355"/>
        </w:tabs>
        <w:rPr>
          <w:sz w:val="10"/>
          <w:lang w:val="fr-FR"/>
        </w:rPr>
      </w:pPr>
    </w:p>
    <w:p w14:paraId="0EA32886" w14:textId="77777777" w:rsidR="00255C15" w:rsidRDefault="00255C15" w:rsidP="00255C15">
      <w:pPr>
        <w:spacing w:after="20" w:line="240" w:lineRule="exact"/>
      </w:pPr>
    </w:p>
    <w:p w14:paraId="6960E1FE" w14:textId="26658ABE" w:rsidR="00C72579" w:rsidRPr="0052615F" w:rsidRDefault="00E669DC" w:rsidP="0052615F">
      <w:pPr>
        <w:pStyle w:val="ParagrapheIndent2"/>
        <w:spacing w:line="270" w:lineRule="exact"/>
        <w:jc w:val="both"/>
        <w:rPr>
          <w:color w:val="000000"/>
          <w:lang w:val="fr-FR"/>
        </w:rPr>
      </w:pPr>
      <w:r>
        <w:rPr>
          <w:color w:val="000000"/>
          <w:lang w:val="fr-FR"/>
        </w:rPr>
        <w:t>Conformément à l’article R.2161-5 du Code de la Commande Publique, le pouvoir adjudicateur se réserve la possibilité de demander aux candidats de préciser la teneur de leur offre.</w:t>
      </w:r>
      <w:r w:rsidR="007840E4">
        <w:rPr>
          <w:color w:val="000000"/>
          <w:lang w:val="fr-FR"/>
        </w:rPr>
        <w:t xml:space="preserve"> </w:t>
      </w:r>
      <w:r>
        <w:rPr>
          <w:color w:val="000000"/>
          <w:lang w:val="fr-FR"/>
        </w:rPr>
        <w:t>Ces demandes de précisions prendront la forme d’échanges écrits via la plateforme de dématérialisation.</w:t>
      </w:r>
      <w:r w:rsidR="007840E4">
        <w:rPr>
          <w:color w:val="000000"/>
          <w:lang w:val="fr-FR"/>
        </w:rPr>
        <w:t xml:space="preserve"> </w:t>
      </w:r>
      <w:r>
        <w:rPr>
          <w:color w:val="000000"/>
          <w:lang w:val="fr-FR"/>
        </w:rPr>
        <w:t>L’attention des candidats est portée sur le fait que les réponses apportées ne peuvent en aucun cas permettre de modifier l’offre (technique et financière) sous peine d’irrégularité conformément aux articles L2152-1 et L2152-2 du Code de la Commande Publique.</w:t>
      </w:r>
    </w:p>
    <w:p w14:paraId="51FD66BA" w14:textId="77777777" w:rsidR="00F745B8" w:rsidRDefault="00F745B8">
      <w:pPr>
        <w:pStyle w:val="ParagrapheIndent2"/>
        <w:spacing w:line="270" w:lineRule="exact"/>
        <w:jc w:val="both"/>
        <w:rPr>
          <w:b/>
          <w:color w:val="000000"/>
          <w:u w:val="single"/>
          <w:lang w:val="fr-FR"/>
        </w:rPr>
      </w:pPr>
    </w:p>
    <w:p w14:paraId="47AF63FE" w14:textId="6264D99E" w:rsidR="004D7A50" w:rsidRDefault="00E669DC">
      <w:pPr>
        <w:pStyle w:val="ParagrapheIndent2"/>
        <w:spacing w:line="270" w:lineRule="exact"/>
        <w:jc w:val="both"/>
        <w:rPr>
          <w:b/>
          <w:color w:val="000000"/>
          <w:u w:val="single"/>
          <w:lang w:val="fr-FR"/>
        </w:rPr>
      </w:pPr>
      <w:r>
        <w:rPr>
          <w:b/>
          <w:color w:val="000000"/>
          <w:u w:val="single"/>
          <w:lang w:val="fr-FR"/>
        </w:rPr>
        <w:t>Offres anormalement basses :</w:t>
      </w:r>
    </w:p>
    <w:p w14:paraId="13DFEA77" w14:textId="77777777" w:rsidR="00F745B8" w:rsidRPr="00F745B8" w:rsidRDefault="00F745B8" w:rsidP="00F745B8">
      <w:pPr>
        <w:rPr>
          <w:lang w:val="fr-FR"/>
        </w:rPr>
      </w:pPr>
    </w:p>
    <w:p w14:paraId="47AF63FF" w14:textId="77777777" w:rsidR="004D7A50" w:rsidRDefault="00E669DC">
      <w:pPr>
        <w:pStyle w:val="ParagrapheIndent2"/>
        <w:spacing w:line="270" w:lineRule="exact"/>
        <w:jc w:val="both"/>
        <w:rPr>
          <w:color w:val="000000"/>
          <w:lang w:val="fr-FR"/>
        </w:rPr>
      </w:pPr>
      <w:r>
        <w:rPr>
          <w:color w:val="000000"/>
          <w:lang w:val="fr-FR"/>
        </w:rPr>
        <w:t>Conformément aux articles L. 2152-6 et R. 2152-3 à R. 2152-5 du Code de la Commande Publique, toute offre paraissant anormalement basse fera l’objet d’une vérification de sa viabilité économique.</w:t>
      </w:r>
    </w:p>
    <w:p w14:paraId="47AF6400" w14:textId="77777777" w:rsidR="004D7A50" w:rsidRDefault="00E669DC">
      <w:pPr>
        <w:pStyle w:val="ParagrapheIndent2"/>
        <w:spacing w:line="270" w:lineRule="exact"/>
        <w:jc w:val="both"/>
        <w:rPr>
          <w:color w:val="000000"/>
          <w:lang w:val="fr-FR"/>
        </w:rPr>
      </w:pPr>
      <w:r>
        <w:rPr>
          <w:color w:val="000000"/>
          <w:lang w:val="fr-FR"/>
        </w:rPr>
        <w:t>En procédure adaptée où la négociation est possible, la détection est effectuée avant la phase de négociation.</w:t>
      </w:r>
    </w:p>
    <w:p w14:paraId="7930F33F" w14:textId="77777777" w:rsidR="00E334CC" w:rsidRDefault="00E334CC" w:rsidP="00E334CC">
      <w:pPr>
        <w:rPr>
          <w:lang w:val="fr-FR"/>
        </w:rPr>
      </w:pPr>
    </w:p>
    <w:p w14:paraId="5E4C021B" w14:textId="77777777" w:rsidR="00E334CC" w:rsidRPr="00E334CC" w:rsidRDefault="00E334CC" w:rsidP="00E334CC">
      <w:pPr>
        <w:rPr>
          <w:lang w:val="fr-FR"/>
        </w:rPr>
      </w:pPr>
    </w:p>
    <w:p w14:paraId="19E9D121" w14:textId="77777777" w:rsidR="00824C20" w:rsidRPr="00824C20" w:rsidRDefault="00824C20" w:rsidP="00824C20">
      <w:pPr>
        <w:rPr>
          <w:lang w:val="fr-FR"/>
        </w:rPr>
      </w:pPr>
    </w:p>
    <w:p w14:paraId="39EF5A69" w14:textId="43B2F88A" w:rsidR="008B57C1" w:rsidRPr="008B57C1" w:rsidRDefault="00E669DC" w:rsidP="008B57C1">
      <w:pPr>
        <w:pStyle w:val="ParagrapheIndent2"/>
        <w:spacing w:line="270" w:lineRule="exact"/>
        <w:jc w:val="both"/>
        <w:rPr>
          <w:color w:val="000000"/>
          <w:lang w:val="fr-FR"/>
        </w:rPr>
      </w:pPr>
      <w:r>
        <w:rPr>
          <w:color w:val="000000"/>
          <w:lang w:val="fr-FR"/>
        </w:rPr>
        <w:lastRenderedPageBreak/>
        <w:t>Les indices susceptibles de conduire le pouvoir adjudicateur à interroger un candidat sont, entre autres (liste non exhaustive</w:t>
      </w:r>
      <w:proofErr w:type="gramStart"/>
      <w:r>
        <w:rPr>
          <w:color w:val="000000"/>
          <w:lang w:val="fr-FR"/>
        </w:rPr>
        <w:t>):</w:t>
      </w:r>
      <w:proofErr w:type="gramEnd"/>
    </w:p>
    <w:p w14:paraId="47AF6402" w14:textId="77777777" w:rsidR="004D7A50" w:rsidRDefault="00E669DC">
      <w:pPr>
        <w:pStyle w:val="ParagrapheIndent2"/>
        <w:spacing w:line="270" w:lineRule="exact"/>
        <w:jc w:val="both"/>
        <w:rPr>
          <w:color w:val="000000"/>
          <w:lang w:val="fr-FR"/>
        </w:rPr>
      </w:pPr>
      <w:r>
        <w:rPr>
          <w:color w:val="000000"/>
          <w:lang w:val="fr-FR"/>
        </w:rPr>
        <w:t>- la comparaison avec les autres offres : le pouvoir adjudicateur utilisera un système constitué d’une phase d’alerte comportant un seuil en dessous duquel des justifications seront exigées. Ce seuil est fixé à 10% de la moyenne des offres des candidats, après élimination du calcul des offres supérieures de 20% à la première moyenne.</w:t>
      </w:r>
    </w:p>
    <w:p w14:paraId="47AF6403" w14:textId="77777777" w:rsidR="004D7A50" w:rsidRDefault="00E669DC">
      <w:pPr>
        <w:pStyle w:val="ParagrapheIndent2"/>
        <w:spacing w:line="270" w:lineRule="exact"/>
        <w:jc w:val="both"/>
        <w:rPr>
          <w:color w:val="000000"/>
          <w:lang w:val="fr-FR"/>
        </w:rPr>
      </w:pPr>
      <w:r>
        <w:rPr>
          <w:color w:val="000000"/>
          <w:lang w:val="fr-FR"/>
        </w:rPr>
        <w:t>- la comparaison avec l’estimation du service acheteur : différence de 20% entre l’estimation du service acheteur et le prix de l’offre d’un candidat.</w:t>
      </w:r>
    </w:p>
    <w:p w14:paraId="47AF6404" w14:textId="77777777" w:rsidR="004D7A50" w:rsidRDefault="00E669DC">
      <w:pPr>
        <w:pStyle w:val="ParagrapheIndent2"/>
        <w:spacing w:line="270" w:lineRule="exact"/>
        <w:jc w:val="both"/>
        <w:rPr>
          <w:color w:val="000000"/>
          <w:lang w:val="fr-FR"/>
        </w:rPr>
      </w:pPr>
      <w:r>
        <w:rPr>
          <w:color w:val="000000"/>
          <w:lang w:val="fr-FR"/>
        </w:rPr>
        <w:t>Le pouvoir adjudicateur se réserve également la possibilité d’interroger un candidat dont l’offre paraitrait anormalement basse au vu des obligations qui s’imposent à lui (en matière sociale, obligations sociales issues du code du Travail et des conventions collectives, en termes de délais, de moyens humains ou matériels affectés aux prestations du marché…).</w:t>
      </w:r>
    </w:p>
    <w:p w14:paraId="781B178D" w14:textId="77777777" w:rsidR="00824C20" w:rsidRPr="00824C20" w:rsidRDefault="00824C20" w:rsidP="00824C20">
      <w:pPr>
        <w:rPr>
          <w:lang w:val="fr-FR"/>
        </w:rPr>
      </w:pPr>
    </w:p>
    <w:p w14:paraId="47AF6406" w14:textId="5044D9CC" w:rsidR="004D7A50" w:rsidRDefault="00E669DC" w:rsidP="008B57C1">
      <w:pPr>
        <w:pStyle w:val="ParagrapheIndent2"/>
        <w:spacing w:line="270" w:lineRule="exact"/>
        <w:jc w:val="both"/>
        <w:rPr>
          <w:color w:val="000000"/>
          <w:lang w:val="fr-FR"/>
        </w:rPr>
      </w:pPr>
      <w:r>
        <w:rPr>
          <w:color w:val="000000"/>
          <w:lang w:val="fr-FR"/>
        </w:rPr>
        <w:t>Dans le cas où le service acheteur, en charge de l’analyse des offres, considère le faisceau d’indices insuffisant, il motivera sa décision de ne pas mettre en œuvre la procédure de détection des offres anormalement basses dans le rapport d’analyse.</w:t>
      </w:r>
      <w:r w:rsidR="00CC26D5">
        <w:rPr>
          <w:color w:val="000000"/>
          <w:lang w:val="fr-FR"/>
        </w:rPr>
        <w:t xml:space="preserve"> </w:t>
      </w:r>
      <w:r>
        <w:rPr>
          <w:color w:val="000000"/>
          <w:lang w:val="fr-FR"/>
        </w:rPr>
        <w:t>Les offres interrogées qui ne seront pas justifiées ou insuffisamment justifiées seront déclarées anormalement basses et écartées. </w:t>
      </w:r>
    </w:p>
    <w:p w14:paraId="67F7375C" w14:textId="77777777" w:rsidR="00824C20" w:rsidRPr="00824C20" w:rsidRDefault="00824C20" w:rsidP="00824C20">
      <w:pPr>
        <w:rPr>
          <w:lang w:val="fr-FR"/>
        </w:rPr>
      </w:pPr>
    </w:p>
    <w:p w14:paraId="47AF6407"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54" w:name="ArtL2_RC-2-A10.4"/>
      <w:bookmarkStart w:id="55" w:name="_Toc241676033"/>
      <w:bookmarkEnd w:id="54"/>
      <w:r>
        <w:rPr>
          <w:rFonts w:ascii="Century Gothic" w:eastAsia="Century Gothic" w:hAnsi="Century Gothic" w:cs="Century Gothic"/>
          <w:i w:val="0"/>
          <w:color w:val="000000"/>
          <w:sz w:val="24"/>
          <w:lang w:val="fr-FR"/>
        </w:rPr>
        <w:t xml:space="preserve">7.3 - </w:t>
      </w:r>
      <w:proofErr w:type="gramStart"/>
      <w:r>
        <w:rPr>
          <w:rFonts w:ascii="Century Gothic" w:eastAsia="Century Gothic" w:hAnsi="Century Gothic" w:cs="Century Gothic"/>
          <w:i w:val="0"/>
          <w:color w:val="000000"/>
          <w:sz w:val="24"/>
          <w:lang w:val="fr-FR"/>
        </w:rPr>
        <w:t>Suite à</w:t>
      </w:r>
      <w:proofErr w:type="gramEnd"/>
      <w:r>
        <w:rPr>
          <w:rFonts w:ascii="Century Gothic" w:eastAsia="Century Gothic" w:hAnsi="Century Gothic" w:cs="Century Gothic"/>
          <w:i w:val="0"/>
          <w:color w:val="000000"/>
          <w:sz w:val="24"/>
          <w:lang w:val="fr-FR"/>
        </w:rPr>
        <w:t xml:space="preserve"> donner à la consultation</w:t>
      </w:r>
      <w:bookmarkEnd w:id="55"/>
    </w:p>
    <w:p w14:paraId="7ECFBDB4" w14:textId="6A3DB59B" w:rsidR="00FF1C05" w:rsidRPr="00803393" w:rsidRDefault="00E669DC" w:rsidP="00803393">
      <w:pPr>
        <w:pStyle w:val="ParagrapheIndent2"/>
        <w:spacing w:line="270" w:lineRule="exact"/>
        <w:jc w:val="both"/>
        <w:rPr>
          <w:color w:val="000000"/>
          <w:lang w:val="fr-FR"/>
        </w:rPr>
      </w:pPr>
      <w:r>
        <w:rPr>
          <w:color w:val="000000"/>
          <w:lang w:val="fr-FR"/>
        </w:rPr>
        <w:t xml:space="preserve">Le ou les candidats attributaires seront donc retenus à titre provisoire en attendant la production des certificats et attestations des articles R. 2143-6 à R. 2143-10 du Code de la </w:t>
      </w:r>
      <w:r w:rsidR="00670740">
        <w:rPr>
          <w:color w:val="000000"/>
          <w:lang w:val="fr-FR"/>
        </w:rPr>
        <w:t>C</w:t>
      </w:r>
      <w:r>
        <w:rPr>
          <w:color w:val="000000"/>
          <w:lang w:val="fr-FR"/>
        </w:rPr>
        <w:t xml:space="preserve">ommande </w:t>
      </w:r>
      <w:r w:rsidR="00670740">
        <w:rPr>
          <w:color w:val="000000"/>
          <w:lang w:val="fr-FR"/>
        </w:rPr>
        <w:t>P</w:t>
      </w:r>
      <w:r>
        <w:rPr>
          <w:color w:val="000000"/>
          <w:lang w:val="fr-FR"/>
        </w:rPr>
        <w:t>ublique. Le délai imparti par le pouvoir adjudicateur pour remettre ces documents ne pourra être supérieur à 10 jours.</w:t>
      </w:r>
    </w:p>
    <w:p w14:paraId="5E9180CC" w14:textId="77777777" w:rsidR="007840E4" w:rsidRPr="007840E4" w:rsidRDefault="007840E4" w:rsidP="007840E4">
      <w:pPr>
        <w:rPr>
          <w:lang w:val="fr-FR"/>
        </w:rPr>
      </w:pPr>
    </w:p>
    <w:p w14:paraId="47AF6409" w14:textId="77777777" w:rsidR="004D7A50" w:rsidRDefault="00E669DC">
      <w:pPr>
        <w:pStyle w:val="Titre1"/>
        <w:shd w:val="clear" w:color="FD2456" w:fill="FD2456"/>
        <w:rPr>
          <w:rFonts w:ascii="Century Gothic" w:eastAsia="Century Gothic" w:hAnsi="Century Gothic" w:cs="Century Gothic"/>
          <w:color w:val="FFFFFF"/>
          <w:sz w:val="28"/>
          <w:lang w:val="fr-FR"/>
        </w:rPr>
      </w:pPr>
      <w:bookmarkStart w:id="56" w:name="ArtL1_RC-2-A14"/>
      <w:bookmarkStart w:id="57" w:name="_Toc241676034"/>
      <w:bookmarkEnd w:id="56"/>
      <w:r>
        <w:rPr>
          <w:rFonts w:ascii="Century Gothic" w:eastAsia="Century Gothic" w:hAnsi="Century Gothic" w:cs="Century Gothic"/>
          <w:color w:val="FFFFFF"/>
          <w:sz w:val="28"/>
          <w:lang w:val="fr-FR"/>
        </w:rPr>
        <w:t>8 - Renseignements complémentaires</w:t>
      </w:r>
      <w:bookmarkEnd w:id="57"/>
    </w:p>
    <w:p w14:paraId="47AF640A" w14:textId="77777777" w:rsidR="004D7A50" w:rsidRDefault="00E669DC">
      <w:pPr>
        <w:spacing w:line="60" w:lineRule="exact"/>
        <w:rPr>
          <w:sz w:val="6"/>
        </w:rPr>
      </w:pPr>
      <w:r>
        <w:t xml:space="preserve"> </w:t>
      </w:r>
    </w:p>
    <w:p w14:paraId="47AF640B" w14:textId="77777777" w:rsidR="004D7A50" w:rsidRDefault="00E669DC">
      <w:pPr>
        <w:pStyle w:val="Titre2"/>
        <w:ind w:left="280"/>
        <w:jc w:val="both"/>
        <w:rPr>
          <w:rFonts w:ascii="Century Gothic" w:eastAsia="Century Gothic" w:hAnsi="Century Gothic" w:cs="Century Gothic"/>
          <w:i w:val="0"/>
          <w:color w:val="000000"/>
          <w:sz w:val="24"/>
          <w:lang w:val="fr-FR"/>
        </w:rPr>
      </w:pPr>
      <w:bookmarkStart w:id="58" w:name="ArtL2_RC-2-A14.1"/>
      <w:bookmarkStart w:id="59" w:name="_Toc241676035"/>
      <w:bookmarkEnd w:id="58"/>
      <w:r>
        <w:rPr>
          <w:rFonts w:ascii="Century Gothic" w:eastAsia="Century Gothic" w:hAnsi="Century Gothic" w:cs="Century Gothic"/>
          <w:i w:val="0"/>
          <w:color w:val="000000"/>
          <w:sz w:val="24"/>
          <w:lang w:val="fr-FR"/>
        </w:rPr>
        <w:t>8.1 - Adresses supplémentaires et points de contact</w:t>
      </w:r>
      <w:bookmarkEnd w:id="59"/>
    </w:p>
    <w:p w14:paraId="47AF640C" w14:textId="77777777" w:rsidR="004D7A50" w:rsidRDefault="00E669DC">
      <w:pPr>
        <w:pStyle w:val="ParagrapheIndent2"/>
        <w:spacing w:line="270"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14:paraId="47AF640D" w14:textId="77777777" w:rsidR="004D7A50" w:rsidRDefault="004D7A50">
      <w:pPr>
        <w:pStyle w:val="ParagrapheIndent2"/>
        <w:spacing w:line="270" w:lineRule="exact"/>
        <w:jc w:val="both"/>
        <w:rPr>
          <w:color w:val="000000"/>
          <w:lang w:val="fr-FR"/>
        </w:rPr>
      </w:pPr>
    </w:p>
    <w:p w14:paraId="47AF640E" w14:textId="77777777" w:rsidR="004D7A50" w:rsidRDefault="00E669DC">
      <w:pPr>
        <w:pStyle w:val="ParagrapheIndent2"/>
        <w:spacing w:after="240" w:line="270" w:lineRule="exact"/>
        <w:jc w:val="both"/>
        <w:rPr>
          <w:color w:val="000000"/>
          <w:lang w:val="fr-FR"/>
        </w:rPr>
      </w:pPr>
      <w:r>
        <w:rPr>
          <w:color w:val="000000"/>
          <w:lang w:val="fr-FR"/>
        </w:rPr>
        <w:t>Cette demande doit intervenir au plus tard 10 jours avant la date limite de remise des plis.</w:t>
      </w:r>
    </w:p>
    <w:p w14:paraId="47AF640F" w14:textId="77777777" w:rsidR="004D7A50" w:rsidRDefault="00E669DC">
      <w:pPr>
        <w:pStyle w:val="ParagrapheIndent2"/>
        <w:spacing w:after="240" w:line="270"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2D56905D" w14:textId="73CC04E8" w:rsidR="006C4E89" w:rsidRPr="00A64E74" w:rsidRDefault="00E669DC" w:rsidP="00A64E74">
      <w:pPr>
        <w:pStyle w:val="Titre2"/>
        <w:ind w:left="280"/>
        <w:jc w:val="both"/>
        <w:rPr>
          <w:rFonts w:ascii="Century Gothic" w:eastAsia="Century Gothic" w:hAnsi="Century Gothic" w:cs="Century Gothic"/>
          <w:i w:val="0"/>
          <w:color w:val="000000"/>
          <w:sz w:val="24"/>
          <w:lang w:val="fr-FR"/>
        </w:rPr>
      </w:pPr>
      <w:bookmarkStart w:id="60" w:name="ArtL2_RC-2-A14.2"/>
      <w:bookmarkStart w:id="61" w:name="_Toc241676036"/>
      <w:bookmarkEnd w:id="60"/>
      <w:r>
        <w:rPr>
          <w:rFonts w:ascii="Century Gothic" w:eastAsia="Century Gothic" w:hAnsi="Century Gothic" w:cs="Century Gothic"/>
          <w:i w:val="0"/>
          <w:color w:val="000000"/>
          <w:sz w:val="24"/>
          <w:lang w:val="fr-FR"/>
        </w:rPr>
        <w:t>8.2 - Procédures de recours</w:t>
      </w:r>
      <w:bookmarkEnd w:id="61"/>
    </w:p>
    <w:p w14:paraId="47AF641A" w14:textId="702A99AE" w:rsidR="004D7A50" w:rsidRDefault="00E669DC">
      <w:pPr>
        <w:pStyle w:val="ParagrapheIndent2"/>
        <w:spacing w:line="270" w:lineRule="exact"/>
        <w:jc w:val="both"/>
        <w:rPr>
          <w:color w:val="000000"/>
          <w:lang w:val="fr-FR"/>
        </w:rPr>
      </w:pPr>
      <w:r>
        <w:rPr>
          <w:color w:val="000000"/>
          <w:lang w:val="fr-FR"/>
        </w:rPr>
        <w:t>Pour obtenir des renseignements relatifs à l'introduction des recours, les candidats devront s'adresser à :</w:t>
      </w:r>
    </w:p>
    <w:p w14:paraId="47AF641B" w14:textId="77777777" w:rsidR="004D7A50" w:rsidRDefault="00E669DC">
      <w:pPr>
        <w:pStyle w:val="ParagrapheIndent2"/>
        <w:spacing w:line="270" w:lineRule="exact"/>
        <w:jc w:val="both"/>
        <w:rPr>
          <w:color w:val="000000"/>
          <w:lang w:val="fr-FR"/>
        </w:rPr>
      </w:pPr>
      <w:r>
        <w:rPr>
          <w:color w:val="000000"/>
          <w:lang w:val="fr-FR"/>
        </w:rPr>
        <w:t>Tribunal Administratif de Montpellier</w:t>
      </w:r>
    </w:p>
    <w:p w14:paraId="47AF641C" w14:textId="77777777" w:rsidR="004D7A50" w:rsidRDefault="00E669DC">
      <w:pPr>
        <w:pStyle w:val="ParagrapheIndent2"/>
        <w:spacing w:line="270" w:lineRule="exact"/>
        <w:jc w:val="both"/>
        <w:rPr>
          <w:color w:val="000000"/>
          <w:lang w:val="fr-FR"/>
        </w:rPr>
      </w:pPr>
      <w:r>
        <w:rPr>
          <w:color w:val="000000"/>
          <w:lang w:val="fr-FR"/>
        </w:rPr>
        <w:t>6 rue Pitot</w:t>
      </w:r>
    </w:p>
    <w:p w14:paraId="47AF641D" w14:textId="77777777" w:rsidR="004D7A50" w:rsidRDefault="00E669DC">
      <w:pPr>
        <w:pStyle w:val="ParagrapheIndent2"/>
        <w:spacing w:line="270" w:lineRule="exact"/>
        <w:jc w:val="both"/>
        <w:rPr>
          <w:color w:val="000000"/>
          <w:lang w:val="fr-FR"/>
        </w:rPr>
      </w:pPr>
      <w:r>
        <w:rPr>
          <w:color w:val="000000"/>
          <w:lang w:val="fr-FR"/>
        </w:rPr>
        <w:t>34063 MONTPELLIER CEDEX 2</w:t>
      </w:r>
    </w:p>
    <w:p w14:paraId="47AF641F" w14:textId="77777777" w:rsidR="004D7A50" w:rsidRDefault="00E669DC">
      <w:pPr>
        <w:pStyle w:val="ParagrapheIndent2"/>
        <w:spacing w:line="270" w:lineRule="exact"/>
        <w:jc w:val="both"/>
        <w:rPr>
          <w:color w:val="000000"/>
          <w:lang w:val="fr-FR"/>
        </w:rPr>
      </w:pPr>
      <w:r>
        <w:rPr>
          <w:color w:val="000000"/>
          <w:lang w:val="fr-FR"/>
        </w:rPr>
        <w:t>Tél : 04 67 54 81 00</w:t>
      </w:r>
    </w:p>
    <w:p w14:paraId="47AF6420" w14:textId="77777777" w:rsidR="004D7A50" w:rsidRDefault="00E669DC">
      <w:pPr>
        <w:pStyle w:val="ParagrapheIndent2"/>
        <w:spacing w:line="270" w:lineRule="exact"/>
        <w:jc w:val="both"/>
        <w:rPr>
          <w:color w:val="000000"/>
          <w:lang w:val="fr-FR"/>
        </w:rPr>
      </w:pPr>
      <w:r>
        <w:rPr>
          <w:color w:val="000000"/>
          <w:lang w:val="fr-FR"/>
        </w:rPr>
        <w:t>Télécopie : 04 67 54 74 10</w:t>
      </w:r>
    </w:p>
    <w:p w14:paraId="47AF6422" w14:textId="5FEECECD" w:rsidR="004D7A50" w:rsidRDefault="00E669DC">
      <w:pPr>
        <w:pStyle w:val="ParagrapheIndent2"/>
        <w:spacing w:line="270" w:lineRule="exact"/>
        <w:jc w:val="both"/>
        <w:rPr>
          <w:color w:val="000000"/>
          <w:lang w:val="fr-FR"/>
        </w:rPr>
      </w:pPr>
      <w:r>
        <w:rPr>
          <w:color w:val="000000"/>
          <w:lang w:val="fr-FR"/>
        </w:rPr>
        <w:t xml:space="preserve">Courriel : </w:t>
      </w:r>
      <w:hyperlink r:id="rId24" w:history="1">
        <w:r w:rsidR="00A64E74" w:rsidRPr="00834C57">
          <w:rPr>
            <w:rStyle w:val="Lienhypertexte"/>
            <w:lang w:val="fr-FR"/>
          </w:rPr>
          <w:t>greffe.ta-montpellier@juradm.fr</w:t>
        </w:r>
      </w:hyperlink>
    </w:p>
    <w:p w14:paraId="162B1C06" w14:textId="77777777" w:rsidR="00A64E74" w:rsidRDefault="00A64E74" w:rsidP="00A64E74">
      <w:pPr>
        <w:rPr>
          <w:lang w:val="fr-FR"/>
        </w:rPr>
      </w:pPr>
    </w:p>
    <w:p w14:paraId="27CB5B8D" w14:textId="77777777" w:rsidR="00A64E74" w:rsidRDefault="00A64E74" w:rsidP="00A64E74">
      <w:pPr>
        <w:rPr>
          <w:lang w:val="fr-FR"/>
        </w:rPr>
      </w:pPr>
    </w:p>
    <w:p w14:paraId="4513158C" w14:textId="77777777" w:rsidR="00A64E74" w:rsidRDefault="00A64E74" w:rsidP="00A64E74">
      <w:pPr>
        <w:rPr>
          <w:lang w:val="fr-FR"/>
        </w:rPr>
      </w:pPr>
    </w:p>
    <w:p w14:paraId="7B1DF1E9" w14:textId="77777777" w:rsidR="00A64E74" w:rsidRPr="00A64E74" w:rsidRDefault="00A64E74" w:rsidP="00A64E74">
      <w:pPr>
        <w:rPr>
          <w:lang w:val="fr-FR"/>
        </w:rPr>
      </w:pPr>
    </w:p>
    <w:p w14:paraId="47AF6423" w14:textId="77777777" w:rsidR="004D7A50" w:rsidRDefault="004D7A50">
      <w:pPr>
        <w:pStyle w:val="ParagrapheIndent2"/>
        <w:spacing w:line="270" w:lineRule="exact"/>
        <w:jc w:val="both"/>
        <w:rPr>
          <w:color w:val="000000"/>
          <w:lang w:val="fr-FR"/>
        </w:rPr>
      </w:pPr>
    </w:p>
    <w:p w14:paraId="47AF6424" w14:textId="77777777" w:rsidR="004D7A50" w:rsidRDefault="00E669DC">
      <w:pPr>
        <w:pStyle w:val="ParagrapheIndent2"/>
        <w:spacing w:line="270" w:lineRule="exact"/>
        <w:jc w:val="both"/>
        <w:rPr>
          <w:color w:val="000000"/>
          <w:lang w:val="fr-FR"/>
        </w:rPr>
      </w:pPr>
      <w:r>
        <w:rPr>
          <w:color w:val="000000"/>
          <w:lang w:val="fr-FR"/>
        </w:rPr>
        <w:lastRenderedPageBreak/>
        <w:t>Précisions concernant les délais d'introduction des recours :</w:t>
      </w:r>
    </w:p>
    <w:p w14:paraId="47AF6425" w14:textId="77777777" w:rsidR="004D7A50" w:rsidRDefault="004D7A50">
      <w:pPr>
        <w:pStyle w:val="ParagrapheIndent2"/>
        <w:spacing w:line="270" w:lineRule="exact"/>
        <w:jc w:val="both"/>
        <w:rPr>
          <w:color w:val="000000"/>
          <w:lang w:val="fr-FR"/>
        </w:rPr>
      </w:pPr>
    </w:p>
    <w:p w14:paraId="47AF6426" w14:textId="77777777" w:rsidR="004D7A50" w:rsidRDefault="00E669DC">
      <w:pPr>
        <w:pStyle w:val="ParagrapheIndent2"/>
        <w:spacing w:line="270" w:lineRule="exact"/>
        <w:jc w:val="both"/>
        <w:rPr>
          <w:color w:val="000000"/>
          <w:lang w:val="fr-FR"/>
        </w:rPr>
      </w:pPr>
      <w:r w:rsidRPr="00722BB1">
        <w:rPr>
          <w:color w:val="000000"/>
          <w:u w:val="single"/>
          <w:lang w:val="fr-FR"/>
        </w:rPr>
        <w:t xml:space="preserve">Référé </w:t>
      </w:r>
      <w:proofErr w:type="spellStart"/>
      <w:r w:rsidRPr="00722BB1">
        <w:rPr>
          <w:color w:val="000000"/>
          <w:u w:val="single"/>
          <w:lang w:val="fr-FR"/>
        </w:rPr>
        <w:t>pré-contractuel</w:t>
      </w:r>
      <w:proofErr w:type="spellEnd"/>
      <w:r>
        <w:rPr>
          <w:color w:val="000000"/>
          <w:lang w:val="fr-FR"/>
        </w:rPr>
        <w:t xml:space="preserve"> prévu aux articles L.551-1 à L.551-12 du Code de justice administrative (CJA), et pouvant être exercé avant la signature du contrat.</w:t>
      </w:r>
    </w:p>
    <w:p w14:paraId="568F5AE6" w14:textId="77777777" w:rsidR="00C14215" w:rsidRPr="00C14215" w:rsidRDefault="00C14215" w:rsidP="00C14215">
      <w:pPr>
        <w:rPr>
          <w:lang w:val="fr-FR"/>
        </w:rPr>
      </w:pPr>
    </w:p>
    <w:p w14:paraId="47AF6428" w14:textId="77777777" w:rsidR="004D7A50" w:rsidRDefault="00E669DC">
      <w:pPr>
        <w:pStyle w:val="ParagrapheIndent2"/>
        <w:spacing w:line="270" w:lineRule="exact"/>
        <w:jc w:val="both"/>
        <w:rPr>
          <w:color w:val="000000"/>
          <w:lang w:val="fr-FR"/>
        </w:rPr>
      </w:pPr>
      <w:r w:rsidRPr="00722BB1">
        <w:rPr>
          <w:color w:val="000000"/>
          <w:u w:val="single"/>
          <w:lang w:val="fr-FR"/>
        </w:rPr>
        <w:t>Référé contractuel</w:t>
      </w:r>
      <w:r>
        <w:rPr>
          <w:color w:val="000000"/>
          <w:lang w:val="fr-FR"/>
        </w:rPr>
        <w:t xml:space="preserve"> prévu aux articles L.551-13 à L.551-23 du CJA, et pouvant être exercé dans les délais prévus à l'article R. 551-7 du CJA.</w:t>
      </w:r>
    </w:p>
    <w:p w14:paraId="75577415" w14:textId="77777777" w:rsidR="00C14215" w:rsidRPr="00C14215" w:rsidRDefault="00C14215" w:rsidP="00C14215">
      <w:pPr>
        <w:rPr>
          <w:lang w:val="fr-FR"/>
        </w:rPr>
      </w:pPr>
    </w:p>
    <w:p w14:paraId="47AF642A" w14:textId="77777777" w:rsidR="004D7A50" w:rsidRDefault="00E669DC">
      <w:pPr>
        <w:pStyle w:val="ParagrapheIndent2"/>
        <w:spacing w:line="270" w:lineRule="exact"/>
        <w:jc w:val="both"/>
        <w:rPr>
          <w:color w:val="000000"/>
          <w:lang w:val="fr-FR"/>
        </w:rPr>
      </w:pPr>
      <w:r w:rsidRPr="00722BB1">
        <w:rPr>
          <w:color w:val="000000"/>
          <w:u w:val="single"/>
          <w:lang w:val="fr-FR"/>
        </w:rPr>
        <w:t>Recours de pleine juridiction</w:t>
      </w:r>
      <w:r>
        <w:rPr>
          <w:color w:val="000000"/>
          <w:lang w:val="fr-FR"/>
        </w:rPr>
        <w:t xml:space="preserve"> ouvert aux tiers justifiant d'un intérêt lésé, et pouvant être exercé dans les deux mois suivant la date à laquelle la conclusion du contrat est rendue publique.</w:t>
      </w:r>
    </w:p>
    <w:p w14:paraId="47AF642D" w14:textId="61254E74" w:rsidR="004D7A50" w:rsidRDefault="00E669DC" w:rsidP="006C4E89">
      <w:pPr>
        <w:pStyle w:val="ParagrapheIndent2"/>
        <w:spacing w:after="100" w:line="270" w:lineRule="exact"/>
        <w:jc w:val="both"/>
        <w:rPr>
          <w:color w:val="000000"/>
          <w:lang w:val="fr-FR"/>
        </w:rPr>
      </w:pPr>
      <w:r>
        <w:rPr>
          <w:color w:val="000000"/>
          <w:lang w:val="fr-FR"/>
        </w:rPr>
        <w:t xml:space="preserve">Dans le cas de disposition(s) ayant pour effet l'organisation ou le fonctionnement d'un service public : </w:t>
      </w:r>
      <w:r w:rsidRPr="00722BB1">
        <w:rPr>
          <w:color w:val="000000"/>
          <w:u w:val="single"/>
          <w:lang w:val="fr-FR"/>
        </w:rPr>
        <w:t>Recours pour Excès de Pouvoir</w:t>
      </w:r>
      <w:r>
        <w:rPr>
          <w:color w:val="000000"/>
          <w:lang w:val="fr-FR"/>
        </w:rPr>
        <w:t xml:space="preserve"> (REP) contre une décision administrative prévu aux articles R. 421-1 à R. 421-7 du CJA, et pouvant être exercé dans les 2 mois suivant la notification ou publication de la décision de l'organisme. Le recours ne peut </w:t>
      </w:r>
      <w:r>
        <w:rPr>
          <w:color w:val="000000"/>
          <w:lang w:val="fr-FR"/>
        </w:rPr>
        <w:cr/>
      </w:r>
      <w:proofErr w:type="gramStart"/>
      <w:r>
        <w:rPr>
          <w:color w:val="000000"/>
          <w:lang w:val="fr-FR"/>
        </w:rPr>
        <w:t>plus</w:t>
      </w:r>
      <w:proofErr w:type="gramEnd"/>
      <w:r>
        <w:rPr>
          <w:color w:val="000000"/>
          <w:lang w:val="fr-FR"/>
        </w:rPr>
        <w:t>, toutefois, être exercé après la signature du contrat.</w:t>
      </w:r>
    </w:p>
    <w:sectPr w:rsidR="004D7A50">
      <w:footerReference w:type="default" r:id="rId25"/>
      <w:pgSz w:w="11900" w:h="16840"/>
      <w:pgMar w:top="1140" w:right="1140" w:bottom="580" w:left="1140" w:header="1140" w:footer="5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43B1" w14:textId="77777777" w:rsidR="00025D84" w:rsidRDefault="00025D84">
      <w:r>
        <w:separator/>
      </w:r>
    </w:p>
  </w:endnote>
  <w:endnote w:type="continuationSeparator" w:id="0">
    <w:p w14:paraId="5E578B78" w14:textId="77777777" w:rsidR="00025D84" w:rsidRDefault="00025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F646A" w14:textId="77777777" w:rsidR="004D7A50" w:rsidRDefault="004D7A50">
    <w:pPr>
      <w:spacing w:line="240" w:lineRule="exact"/>
    </w:pPr>
  </w:p>
  <w:tbl>
    <w:tblPr>
      <w:tblW w:w="0" w:type="auto"/>
      <w:tblLayout w:type="fixed"/>
      <w:tblLook w:val="04A0" w:firstRow="1" w:lastRow="0" w:firstColumn="1" w:lastColumn="0" w:noHBand="0" w:noVBand="1"/>
    </w:tblPr>
    <w:tblGrid>
      <w:gridCol w:w="5220"/>
      <w:gridCol w:w="4400"/>
    </w:tblGrid>
    <w:tr w:rsidR="004D7A50" w14:paraId="47AF646D" w14:textId="77777777">
      <w:trPr>
        <w:trHeight w:val="245"/>
      </w:trPr>
      <w:tc>
        <w:tcPr>
          <w:tcW w:w="5220" w:type="dxa"/>
          <w:tcMar>
            <w:top w:w="0" w:type="dxa"/>
            <w:left w:w="0" w:type="dxa"/>
            <w:bottom w:w="0" w:type="dxa"/>
            <w:right w:w="0" w:type="dxa"/>
          </w:tcMar>
          <w:vAlign w:val="center"/>
        </w:tcPr>
        <w:p w14:paraId="47AF646B" w14:textId="77777777" w:rsidR="004D7A50" w:rsidRDefault="00E669DC">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26MDPAAO31</w:t>
          </w:r>
        </w:p>
      </w:tc>
      <w:tc>
        <w:tcPr>
          <w:tcW w:w="4400" w:type="dxa"/>
          <w:tcMar>
            <w:top w:w="0" w:type="dxa"/>
            <w:left w:w="0" w:type="dxa"/>
            <w:bottom w:w="0" w:type="dxa"/>
            <w:right w:w="0" w:type="dxa"/>
          </w:tcMar>
          <w:vAlign w:val="center"/>
        </w:tcPr>
        <w:p w14:paraId="47AF646C" w14:textId="77777777" w:rsidR="004D7A50" w:rsidRDefault="00E669D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CE064" w14:textId="77777777" w:rsidR="00025D84" w:rsidRDefault="00025D84">
      <w:r>
        <w:separator/>
      </w:r>
    </w:p>
  </w:footnote>
  <w:footnote w:type="continuationSeparator" w:id="0">
    <w:p w14:paraId="52374C15" w14:textId="77777777" w:rsidR="00025D84" w:rsidRDefault="00025D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D7A50"/>
    <w:rsid w:val="00025D84"/>
    <w:rsid w:val="00042FAA"/>
    <w:rsid w:val="00052C82"/>
    <w:rsid w:val="0007613E"/>
    <w:rsid w:val="000809D0"/>
    <w:rsid w:val="00097C3B"/>
    <w:rsid w:val="000E0B10"/>
    <w:rsid w:val="000F13D7"/>
    <w:rsid w:val="001000BB"/>
    <w:rsid w:val="00105F10"/>
    <w:rsid w:val="00110F2D"/>
    <w:rsid w:val="001117A6"/>
    <w:rsid w:val="001161C2"/>
    <w:rsid w:val="0012382E"/>
    <w:rsid w:val="0012499F"/>
    <w:rsid w:val="00133809"/>
    <w:rsid w:val="00170E15"/>
    <w:rsid w:val="00170E8B"/>
    <w:rsid w:val="0017101F"/>
    <w:rsid w:val="001877B3"/>
    <w:rsid w:val="0019600A"/>
    <w:rsid w:val="001A12BD"/>
    <w:rsid w:val="001A3594"/>
    <w:rsid w:val="001A3D78"/>
    <w:rsid w:val="001A4BCF"/>
    <w:rsid w:val="001A566F"/>
    <w:rsid w:val="001A5B82"/>
    <w:rsid w:val="001C03D5"/>
    <w:rsid w:val="001D67A1"/>
    <w:rsid w:val="00220BBF"/>
    <w:rsid w:val="00237111"/>
    <w:rsid w:val="00255C15"/>
    <w:rsid w:val="002709B3"/>
    <w:rsid w:val="002921A6"/>
    <w:rsid w:val="002D5AC6"/>
    <w:rsid w:val="002F20F0"/>
    <w:rsid w:val="002F3C05"/>
    <w:rsid w:val="00301CE5"/>
    <w:rsid w:val="003156FC"/>
    <w:rsid w:val="003239FE"/>
    <w:rsid w:val="00323BAE"/>
    <w:rsid w:val="00327C89"/>
    <w:rsid w:val="003772F2"/>
    <w:rsid w:val="003811AF"/>
    <w:rsid w:val="0039511E"/>
    <w:rsid w:val="00395E4B"/>
    <w:rsid w:val="003A289F"/>
    <w:rsid w:val="003D438E"/>
    <w:rsid w:val="003D6D5E"/>
    <w:rsid w:val="003E0921"/>
    <w:rsid w:val="003F292F"/>
    <w:rsid w:val="003F72D3"/>
    <w:rsid w:val="00401167"/>
    <w:rsid w:val="00411059"/>
    <w:rsid w:val="0042008F"/>
    <w:rsid w:val="00450295"/>
    <w:rsid w:val="004656B3"/>
    <w:rsid w:val="00475686"/>
    <w:rsid w:val="004C6A2D"/>
    <w:rsid w:val="004D15F8"/>
    <w:rsid w:val="004D3F88"/>
    <w:rsid w:val="004D5D36"/>
    <w:rsid w:val="004D7A50"/>
    <w:rsid w:val="004E12F6"/>
    <w:rsid w:val="004E238C"/>
    <w:rsid w:val="00500FFA"/>
    <w:rsid w:val="00501451"/>
    <w:rsid w:val="005216B1"/>
    <w:rsid w:val="00523E64"/>
    <w:rsid w:val="0052615F"/>
    <w:rsid w:val="005405A4"/>
    <w:rsid w:val="00540F92"/>
    <w:rsid w:val="00562705"/>
    <w:rsid w:val="0056335B"/>
    <w:rsid w:val="00583D91"/>
    <w:rsid w:val="005963A4"/>
    <w:rsid w:val="005A2731"/>
    <w:rsid w:val="005C0D7D"/>
    <w:rsid w:val="005F4A89"/>
    <w:rsid w:val="00607234"/>
    <w:rsid w:val="00613120"/>
    <w:rsid w:val="0062180A"/>
    <w:rsid w:val="00622A2E"/>
    <w:rsid w:val="00630607"/>
    <w:rsid w:val="00630ACF"/>
    <w:rsid w:val="00643AC6"/>
    <w:rsid w:val="006509EB"/>
    <w:rsid w:val="00670740"/>
    <w:rsid w:val="006810F3"/>
    <w:rsid w:val="00695736"/>
    <w:rsid w:val="006A544D"/>
    <w:rsid w:val="006C4E89"/>
    <w:rsid w:val="006E5A8C"/>
    <w:rsid w:val="006E7AF5"/>
    <w:rsid w:val="006F5F58"/>
    <w:rsid w:val="00720901"/>
    <w:rsid w:val="00722BB1"/>
    <w:rsid w:val="00727061"/>
    <w:rsid w:val="0073085D"/>
    <w:rsid w:val="00773716"/>
    <w:rsid w:val="007803D5"/>
    <w:rsid w:val="007840E4"/>
    <w:rsid w:val="0078783F"/>
    <w:rsid w:val="007911FE"/>
    <w:rsid w:val="00796731"/>
    <w:rsid w:val="007B287B"/>
    <w:rsid w:val="007B50B0"/>
    <w:rsid w:val="007B7A67"/>
    <w:rsid w:val="007D405C"/>
    <w:rsid w:val="007D70E6"/>
    <w:rsid w:val="00803393"/>
    <w:rsid w:val="008051ED"/>
    <w:rsid w:val="00810741"/>
    <w:rsid w:val="0082187F"/>
    <w:rsid w:val="00824C20"/>
    <w:rsid w:val="00832832"/>
    <w:rsid w:val="008544AD"/>
    <w:rsid w:val="00866025"/>
    <w:rsid w:val="00872FB1"/>
    <w:rsid w:val="00897B9C"/>
    <w:rsid w:val="008A52DE"/>
    <w:rsid w:val="008B57C1"/>
    <w:rsid w:val="008C593A"/>
    <w:rsid w:val="008D100D"/>
    <w:rsid w:val="008D1C70"/>
    <w:rsid w:val="008E3055"/>
    <w:rsid w:val="008E5B1C"/>
    <w:rsid w:val="008F240B"/>
    <w:rsid w:val="009019AB"/>
    <w:rsid w:val="009159CE"/>
    <w:rsid w:val="00916C00"/>
    <w:rsid w:val="00924F64"/>
    <w:rsid w:val="0092667E"/>
    <w:rsid w:val="0094460C"/>
    <w:rsid w:val="0094512D"/>
    <w:rsid w:val="00967B75"/>
    <w:rsid w:val="00974E9F"/>
    <w:rsid w:val="009868C5"/>
    <w:rsid w:val="0099359A"/>
    <w:rsid w:val="009B693E"/>
    <w:rsid w:val="009E77E9"/>
    <w:rsid w:val="009F4F1C"/>
    <w:rsid w:val="00A02150"/>
    <w:rsid w:val="00A040C0"/>
    <w:rsid w:val="00A23ADD"/>
    <w:rsid w:val="00A431AB"/>
    <w:rsid w:val="00A45B2F"/>
    <w:rsid w:val="00A5155B"/>
    <w:rsid w:val="00A63940"/>
    <w:rsid w:val="00A64E74"/>
    <w:rsid w:val="00A65E6B"/>
    <w:rsid w:val="00A83F42"/>
    <w:rsid w:val="00AA4BF2"/>
    <w:rsid w:val="00AE43BD"/>
    <w:rsid w:val="00AE6B94"/>
    <w:rsid w:val="00B418EA"/>
    <w:rsid w:val="00B46617"/>
    <w:rsid w:val="00B51EA2"/>
    <w:rsid w:val="00B77E1A"/>
    <w:rsid w:val="00B9673E"/>
    <w:rsid w:val="00B96F8F"/>
    <w:rsid w:val="00BA0D4D"/>
    <w:rsid w:val="00BB0D06"/>
    <w:rsid w:val="00BB1601"/>
    <w:rsid w:val="00BC4B6B"/>
    <w:rsid w:val="00BD2DA7"/>
    <w:rsid w:val="00BE307E"/>
    <w:rsid w:val="00C14215"/>
    <w:rsid w:val="00C154F2"/>
    <w:rsid w:val="00C179DD"/>
    <w:rsid w:val="00C36093"/>
    <w:rsid w:val="00C61805"/>
    <w:rsid w:val="00C6456D"/>
    <w:rsid w:val="00C72579"/>
    <w:rsid w:val="00C7753C"/>
    <w:rsid w:val="00C81799"/>
    <w:rsid w:val="00C93021"/>
    <w:rsid w:val="00CA113A"/>
    <w:rsid w:val="00CA2DA1"/>
    <w:rsid w:val="00CB6296"/>
    <w:rsid w:val="00CC26D5"/>
    <w:rsid w:val="00CE1F23"/>
    <w:rsid w:val="00CF2C46"/>
    <w:rsid w:val="00D23002"/>
    <w:rsid w:val="00D55329"/>
    <w:rsid w:val="00D731D8"/>
    <w:rsid w:val="00D90ABE"/>
    <w:rsid w:val="00DA0150"/>
    <w:rsid w:val="00DE5744"/>
    <w:rsid w:val="00E104E6"/>
    <w:rsid w:val="00E25BCB"/>
    <w:rsid w:val="00E27C2E"/>
    <w:rsid w:val="00E334CC"/>
    <w:rsid w:val="00E53051"/>
    <w:rsid w:val="00E669DC"/>
    <w:rsid w:val="00E74384"/>
    <w:rsid w:val="00E74FD6"/>
    <w:rsid w:val="00E75DE5"/>
    <w:rsid w:val="00E7699E"/>
    <w:rsid w:val="00E83886"/>
    <w:rsid w:val="00E900C5"/>
    <w:rsid w:val="00EB18CD"/>
    <w:rsid w:val="00EC5553"/>
    <w:rsid w:val="00EC738B"/>
    <w:rsid w:val="00ED4BEC"/>
    <w:rsid w:val="00EE346E"/>
    <w:rsid w:val="00EF7740"/>
    <w:rsid w:val="00F10000"/>
    <w:rsid w:val="00F1444D"/>
    <w:rsid w:val="00F14ADF"/>
    <w:rsid w:val="00F27B76"/>
    <w:rsid w:val="00F745B8"/>
    <w:rsid w:val="00F76A6C"/>
    <w:rsid w:val="00F923D9"/>
    <w:rsid w:val="00FC73B6"/>
    <w:rsid w:val="00FE11A0"/>
    <w:rsid w:val="00FE499C"/>
    <w:rsid w:val="00FF1C05"/>
    <w:rsid w:val="00FF5B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F61F5"/>
  <w15:docId w15:val="{9E5A26C6-3B81-42EA-BCB3-BC077EEFA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tableCH">
    <w:name w:val="table CH"/>
    <w:basedOn w:val="Normal"/>
    <w:next w:val="Normal"/>
    <w:qFormat/>
    <w:rPr>
      <w:rFonts w:ascii="Century Gothic" w:eastAsia="Century Gothic" w:hAnsi="Century Gothic" w:cs="Century Gothic"/>
      <w:b/>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583D91"/>
    <w:pPr>
      <w:tabs>
        <w:tab w:val="center" w:pos="4536"/>
        <w:tab w:val="right" w:pos="9072"/>
      </w:tabs>
    </w:pPr>
  </w:style>
  <w:style w:type="character" w:customStyle="1" w:styleId="En-tteCar">
    <w:name w:val="En-tête Car"/>
    <w:basedOn w:val="Policepardfaut"/>
    <w:link w:val="En-tte"/>
    <w:rsid w:val="00583D91"/>
    <w:rPr>
      <w:sz w:val="24"/>
      <w:szCs w:val="24"/>
    </w:rPr>
  </w:style>
  <w:style w:type="paragraph" w:styleId="Pieddepage0">
    <w:name w:val="footer"/>
    <w:basedOn w:val="Normal"/>
    <w:link w:val="PieddepageCar"/>
    <w:rsid w:val="00583D91"/>
    <w:pPr>
      <w:tabs>
        <w:tab w:val="center" w:pos="4536"/>
        <w:tab w:val="right" w:pos="9072"/>
      </w:tabs>
    </w:pPr>
  </w:style>
  <w:style w:type="character" w:customStyle="1" w:styleId="PieddepageCar">
    <w:name w:val="Pied de page Car"/>
    <w:basedOn w:val="Policepardfaut"/>
    <w:link w:val="Pieddepage0"/>
    <w:rsid w:val="00583D91"/>
    <w:rPr>
      <w:sz w:val="24"/>
      <w:szCs w:val="24"/>
    </w:rPr>
  </w:style>
  <w:style w:type="character" w:customStyle="1" w:styleId="Titre2Car">
    <w:name w:val="Titre 2 Car"/>
    <w:basedOn w:val="Policepardfaut"/>
    <w:link w:val="Titre2"/>
    <w:rsid w:val="003811AF"/>
    <w:rPr>
      <w:rFonts w:ascii="Arial" w:hAnsi="Arial" w:cs="Arial"/>
      <w:b/>
      <w:bCs/>
      <w:i/>
      <w:iCs/>
      <w:sz w:val="28"/>
      <w:szCs w:val="28"/>
    </w:rPr>
  </w:style>
  <w:style w:type="character" w:styleId="Mentionnonrsolue">
    <w:name w:val="Unresolved Mention"/>
    <w:basedOn w:val="Policepardfaut"/>
    <w:uiPriority w:val="99"/>
    <w:semiHidden/>
    <w:unhideWhenUsed/>
    <w:rsid w:val="00A64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greffe.ta-montpellier@juradm.fr"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cyber.gouv.fr/obtenir-un-certificat-de-signature-electroniqu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5134a4-4619-49ca-a77f-092bc80b6f9d" xsi:nil="true"/>
    <lcf76f155ced4ddcb4097134ff3c332f xmlns="af0864c8-c37c-49c8-b3d7-9be69da4c7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7FED2879BF643A71F77543BC03E29" ma:contentTypeVersion="14" ma:contentTypeDescription="Create a new document." ma:contentTypeScope="" ma:versionID="68b6a4d3e474540adf9b3988ae4f993f">
  <xsd:schema xmlns:xsd="http://www.w3.org/2001/XMLSchema" xmlns:xs="http://www.w3.org/2001/XMLSchema" xmlns:p="http://schemas.microsoft.com/office/2006/metadata/properties" xmlns:ns2="af0864c8-c37c-49c8-b3d7-9be69da4c7a9" xmlns:ns3="a35134a4-4619-49ca-a77f-092bc80b6f9d" targetNamespace="http://schemas.microsoft.com/office/2006/metadata/properties" ma:root="true" ma:fieldsID="5c2d2f45f2d86fe02accc62b5dad0dba" ns2:_="" ns3:_="">
    <xsd:import namespace="af0864c8-c37c-49c8-b3d7-9be69da4c7a9"/>
    <xsd:import namespace="a35134a4-4619-49ca-a77f-092bc80b6f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864c8-c37c-49c8-b3d7-9be69da4c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31b9ca-a247-4414-b479-06ee6a7f14a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134a4-4619-49ca-a77f-092bc80b6f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570b90-8ede-42f7-b19f-763212a0ab20}" ma:internalName="TaxCatchAll" ma:showField="CatchAllData" ma:web="a35134a4-4619-49ca-a77f-092bc80b6f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52CB3-DC2C-4CE5-9E72-1B50455EBCC0}">
  <ds:schemaRefs>
    <ds:schemaRef ds:uri="http://schemas.microsoft.com/sharepoint/v3/contenttype/forms"/>
  </ds:schemaRefs>
</ds:datastoreItem>
</file>

<file path=customXml/itemProps2.xml><?xml version="1.0" encoding="utf-8"?>
<ds:datastoreItem xmlns:ds="http://schemas.openxmlformats.org/officeDocument/2006/customXml" ds:itemID="{DD3B64A1-E956-4DD6-98E3-73C3BC19A5EF}">
  <ds:schemaRefs>
    <ds:schemaRef ds:uri="http://schemas.microsoft.com/office/2006/metadata/properties"/>
    <ds:schemaRef ds:uri="http://schemas.microsoft.com/office/infopath/2007/PartnerControls"/>
    <ds:schemaRef ds:uri="a35134a4-4619-49ca-a77f-092bc80b6f9d"/>
    <ds:schemaRef ds:uri="af0864c8-c37c-49c8-b3d7-9be69da4c7a9"/>
  </ds:schemaRefs>
</ds:datastoreItem>
</file>

<file path=customXml/itemProps3.xml><?xml version="1.0" encoding="utf-8"?>
<ds:datastoreItem xmlns:ds="http://schemas.openxmlformats.org/officeDocument/2006/customXml" ds:itemID="{8488C178-8297-4EE2-895E-34790D11A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864c8-c37c-49c8-b3d7-9be69da4c7a9"/>
    <ds:schemaRef ds:uri="a35134a4-4619-49ca-a77f-092bc80b6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14</Pages>
  <Words>4437</Words>
  <Characters>24409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SERRA Eva</cp:lastModifiedBy>
  <cp:revision>174</cp:revision>
  <dcterms:created xsi:type="dcterms:W3CDTF">2026-08-06T09:52:00Z</dcterms:created>
  <dcterms:modified xsi:type="dcterms:W3CDTF">2026-10-13T13:01:00Z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0x010100F5B7FED2879BF643A71F77543BC03E29</vt:lpwstr>
  </property>
  <property fmtid="{D5CDD505-2E9C-101B-9397-08002B2CF9AE}" pid="3" name="MediaServiceImageTags">
    <vt:lpwstr/>
  </property>
</Properties>
</file>