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66A" w:rsidRPr="00257375" w:rsidRDefault="00CF67D4">
      <w:pPr>
        <w:spacing w:after="80" w:line="280" w:lineRule="auto"/>
        <w:jc w:val="center"/>
      </w:pPr>
      <w:r w:rsidRPr="00257375">
        <w:rPr>
          <w:b/>
          <w:bCs/>
        </w:rPr>
        <w:t>MARCHES PUBLICS DE FOURNITURES COURANTES ET SERVICES</w:t>
      </w:r>
    </w:p>
    <w:p w:rsidR="00F8666A" w:rsidRPr="00257375" w:rsidRDefault="00F8666A">
      <w:pPr>
        <w:spacing w:after="60" w:line="280" w:lineRule="auto"/>
      </w:pPr>
    </w:p>
    <w:p w:rsidR="00F8666A" w:rsidRPr="00257375" w:rsidRDefault="00CF67D4">
      <w:pPr>
        <w:spacing w:after="20" w:line="280" w:lineRule="auto"/>
        <w:jc w:val="center"/>
      </w:pPr>
      <w:r w:rsidRPr="00257375">
        <w:rPr>
          <w:b/>
          <w:bCs/>
        </w:rPr>
        <w:t>Syndicat Mixte des Transports en Commun de l'Hérault</w:t>
      </w:r>
    </w:p>
    <w:p w:rsidR="00F8666A" w:rsidRPr="00257375" w:rsidRDefault="00CF67D4">
      <w:pPr>
        <w:spacing w:after="10" w:line="280" w:lineRule="auto"/>
        <w:jc w:val="center"/>
      </w:pPr>
      <w:r w:rsidRPr="00257375">
        <w:rPr>
          <w:sz w:val="20"/>
          <w:szCs w:val="20"/>
        </w:rPr>
        <w:t xml:space="preserve">148 Avenue du Professeur VIALA – Parc </w:t>
      </w:r>
      <w:proofErr w:type="spellStart"/>
      <w:r w:rsidRPr="00257375">
        <w:rPr>
          <w:sz w:val="20"/>
          <w:szCs w:val="20"/>
        </w:rPr>
        <w:t>Euromédecine</w:t>
      </w:r>
      <w:proofErr w:type="spellEnd"/>
      <w:r w:rsidRPr="00257375">
        <w:rPr>
          <w:sz w:val="20"/>
          <w:szCs w:val="20"/>
        </w:rPr>
        <w:t xml:space="preserve"> II</w:t>
      </w:r>
    </w:p>
    <w:p w:rsidR="00F8666A" w:rsidRPr="00257375" w:rsidRDefault="00CF67D4">
      <w:pPr>
        <w:spacing w:after="200" w:line="280" w:lineRule="auto"/>
        <w:jc w:val="center"/>
      </w:pPr>
      <w:r w:rsidRPr="00257375">
        <w:rPr>
          <w:sz w:val="20"/>
          <w:szCs w:val="20"/>
        </w:rPr>
        <w:t>CS 34303, 34193 Montpellier Cedex 5</w:t>
      </w:r>
    </w:p>
    <w:p w:rsidR="00F8666A" w:rsidRPr="00257375" w:rsidRDefault="00CF67D4">
      <w:pPr>
        <w:spacing w:after="200"/>
        <w:jc w:val="center"/>
      </w:pPr>
      <w:r w:rsidRPr="00257375">
        <w:rPr>
          <w:noProof/>
        </w:rPr>
        <w:drawing>
          <wp:inline distT="0" distB="0" distL="0" distR="0" wp14:anchorId="5C9B0400" wp14:editId="41F560A5">
            <wp:extent cx="857250" cy="857250"/>
            <wp:effectExtent l="0" t="0" r="0" b="0"/>
            <wp:docPr id="1" name="logo-ht-garde" descr="Logo Hérault Transport" title="Hérault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857250" cy="857250"/>
                    </a:xfrm>
                    <a:prstGeom prst="rect">
                      <a:avLst/>
                    </a:prstGeom>
                  </pic:spPr>
                </pic:pic>
              </a:graphicData>
            </a:graphic>
          </wp:inline>
        </w:drawing>
      </w: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0"/>
      </w:tblGrid>
      <w:tr w:rsidR="00F8666A" w:rsidRPr="00257375">
        <w:trPr>
          <w:jc w:val="center"/>
        </w:trPr>
        <w:tc>
          <w:tcPr>
            <w:tcW w:w="7000" w:type="dxa"/>
            <w:tcBorders>
              <w:top w:val="single" w:sz="8" w:space="0" w:color="000000"/>
              <w:left w:val="single" w:sz="8" w:space="0" w:color="000000"/>
              <w:bottom w:val="single" w:sz="8" w:space="0" w:color="000000"/>
              <w:right w:val="single" w:sz="8" w:space="0" w:color="000000"/>
            </w:tcBorders>
            <w:tcMar>
              <w:top w:w="150" w:type="dxa"/>
              <w:left w:w="200" w:type="dxa"/>
              <w:bottom w:w="150" w:type="dxa"/>
              <w:right w:w="200" w:type="dxa"/>
            </w:tcMar>
          </w:tcPr>
          <w:p w:rsidR="00F8666A" w:rsidRPr="00257375" w:rsidRDefault="00CF67D4">
            <w:pPr>
              <w:spacing w:line="280" w:lineRule="auto"/>
              <w:jc w:val="center"/>
            </w:pPr>
            <w:r w:rsidRPr="00257375">
              <w:rPr>
                <w:b/>
                <w:bCs/>
                <w:sz w:val="24"/>
                <w:szCs w:val="24"/>
              </w:rPr>
              <w:t>FOURNITURES ET ACCESSOIRES DE BUREAU ET CONSOMMABLES INFORMATIQUES</w:t>
            </w:r>
          </w:p>
        </w:tc>
      </w:tr>
    </w:tbl>
    <w:p w:rsidR="00F8666A" w:rsidRPr="00257375" w:rsidRDefault="00F8666A">
      <w:pPr>
        <w:spacing w:after="150" w:line="280" w:lineRule="auto"/>
      </w:pPr>
    </w:p>
    <w:p w:rsidR="00F8666A" w:rsidRPr="00257375" w:rsidRDefault="00CF67D4">
      <w:pPr>
        <w:spacing w:after="250" w:line="280" w:lineRule="auto"/>
        <w:jc w:val="center"/>
      </w:pPr>
      <w:r w:rsidRPr="00257375">
        <w:rPr>
          <w:sz w:val="19"/>
          <w:szCs w:val="19"/>
        </w:rPr>
        <w:t>Marché public passé en procédure adaptée en application des articles L.2123-1 et R.2123-1 et suivants du code de la commande publique</w:t>
      </w:r>
    </w:p>
    <w:p w:rsidR="00F8666A" w:rsidRPr="00257375" w:rsidRDefault="00CF67D4">
      <w:pPr>
        <w:spacing w:before="150" w:after="250" w:line="280" w:lineRule="auto"/>
        <w:jc w:val="center"/>
      </w:pPr>
      <w:r w:rsidRPr="00257375">
        <w:rPr>
          <w:b/>
          <w:bCs/>
          <w:sz w:val="26"/>
          <w:szCs w:val="26"/>
          <w:u w:val="single"/>
        </w:rPr>
        <w:t>Règlement de la Consultation</w:t>
      </w:r>
    </w:p>
    <w:p w:rsidR="00F8666A" w:rsidRDefault="00CF67D4">
      <w:pPr>
        <w:spacing w:after="100" w:line="280" w:lineRule="auto"/>
        <w:jc w:val="center"/>
        <w:rPr>
          <w:sz w:val="19"/>
          <w:szCs w:val="19"/>
        </w:rPr>
      </w:pPr>
      <w:r w:rsidRPr="00257375">
        <w:rPr>
          <w:sz w:val="19"/>
          <w:szCs w:val="19"/>
        </w:rPr>
        <w:t>N° de marché</w:t>
      </w:r>
    </w:p>
    <w:p w:rsidR="004A3723" w:rsidRPr="004A3723" w:rsidRDefault="004A3723">
      <w:pPr>
        <w:spacing w:after="100" w:line="280" w:lineRule="auto"/>
        <w:jc w:val="center"/>
        <w:rPr>
          <w:b/>
          <w:sz w:val="28"/>
          <w:szCs w:val="28"/>
        </w:rPr>
      </w:pPr>
      <w:r w:rsidRPr="004A3723">
        <w:rPr>
          <w:b/>
          <w:sz w:val="28"/>
          <w:szCs w:val="28"/>
        </w:rPr>
        <w:t>2026M0007</w:t>
      </w:r>
    </w:p>
    <w:p w:rsidR="004A3723" w:rsidRPr="00257375" w:rsidRDefault="004A3723">
      <w:pPr>
        <w:spacing w:after="100" w:line="280" w:lineRule="auto"/>
        <w:jc w:val="center"/>
      </w:pPr>
    </w:p>
    <w:p w:rsidR="009B74B0" w:rsidRDefault="00CF67D4">
      <w:pPr>
        <w:spacing w:before="120" w:after="60" w:line="280" w:lineRule="auto"/>
        <w:jc w:val="center"/>
      </w:pPr>
      <w:r>
        <w:rPr>
          <w:b/>
          <w:bCs/>
        </w:rPr>
        <w:t>Date limi</w:t>
      </w:r>
      <w:r w:rsidR="00DF626A">
        <w:rPr>
          <w:b/>
          <w:bCs/>
        </w:rPr>
        <w:t>te de réception des offres : 20 novembre 2026</w:t>
      </w:r>
    </w:p>
    <w:p w:rsidR="009B74B0" w:rsidRDefault="009B74B0">
      <w:pPr>
        <w:spacing w:after="60" w:line="280" w:lineRule="auto"/>
      </w:pPr>
    </w:p>
    <w:p w:rsidR="009B74B0" w:rsidRDefault="00CF67D4">
      <w:pPr>
        <w:pStyle w:val="Titre1"/>
        <w:keepNext/>
        <w:pBdr>
          <w:bottom w:val="single" w:sz="6" w:space="5" w:color="C0392B"/>
        </w:pBdr>
        <w:spacing w:before="260" w:after="110"/>
      </w:pPr>
      <w:r>
        <w:rPr>
          <w:color w:val="C0392B"/>
        </w:rPr>
        <w:t xml:space="preserve">ARTICLE 1 — </w:t>
      </w:r>
      <w:r>
        <w:t>IDENTIFICATION DE L'ACHETEUR</w:t>
      </w:r>
    </w:p>
    <w:p w:rsidR="009B74B0" w:rsidRDefault="00CF67D4">
      <w:pPr>
        <w:spacing w:after="100" w:line="280" w:lineRule="auto"/>
      </w:pPr>
      <w:r>
        <w:t xml:space="preserve">L'acheteur est le Syndicat Mixte des Transports en Commun de l'Hérault (Hérault Transport), dont le siège est situé au 148 avenue du Professeur Viala, Parc </w:t>
      </w:r>
      <w:proofErr w:type="spellStart"/>
      <w:r>
        <w:t>Euromédecine</w:t>
      </w:r>
      <w:proofErr w:type="spellEnd"/>
      <w:r>
        <w:t xml:space="preserve"> II, CS 34303, 34193 Montpellier Cedex 5, représenté par le Président du Syndicat mixte, dûment habilité aux fins des présentes. L'acheteur agit en qualité de pouvoir adjudicateur.</w:t>
      </w:r>
    </w:p>
    <w:p w:rsidR="009B74B0" w:rsidRDefault="00CF67D4">
      <w:pPr>
        <w:spacing w:after="100" w:line="280" w:lineRule="auto"/>
      </w:pPr>
      <w:r>
        <w:t>Service de référence : service des ressources humaines et des affaires générales. Les échanges avec les candidats ont lieu exclusivement par le profil d'acheteur (article 4.4).</w:t>
      </w:r>
    </w:p>
    <w:p w:rsidR="009B74B0" w:rsidRDefault="00CF67D4">
      <w:pPr>
        <w:pStyle w:val="Titre1"/>
        <w:keepNext/>
        <w:pBdr>
          <w:bottom w:val="single" w:sz="6" w:space="5" w:color="C0392B"/>
        </w:pBdr>
        <w:spacing w:before="260" w:after="110"/>
      </w:pPr>
      <w:r>
        <w:rPr>
          <w:color w:val="C0392B"/>
        </w:rPr>
        <w:t xml:space="preserve">ARTICLE 2 — </w:t>
      </w:r>
      <w:r>
        <w:t>OBJET ET ÉTENDUE DE LA CONSULTATION</w:t>
      </w:r>
    </w:p>
    <w:p w:rsidR="009B74B0" w:rsidRDefault="00CF67D4">
      <w:pPr>
        <w:keepNext/>
        <w:spacing w:before="150" w:after="70"/>
      </w:pPr>
      <w:r>
        <w:rPr>
          <w:b/>
          <w:bCs/>
          <w:i/>
          <w:iCs/>
          <w:sz w:val="21"/>
          <w:szCs w:val="21"/>
        </w:rPr>
        <w:t>2.1. Objet</w:t>
      </w:r>
    </w:p>
    <w:p w:rsidR="009B74B0" w:rsidRDefault="00CF67D4">
      <w:pPr>
        <w:spacing w:after="100" w:line="280" w:lineRule="auto"/>
      </w:pPr>
      <w:r>
        <w:t>La présente consultation concerne l'acquisition de fournitures et accessoires de bureau et de consommables informatiques pour les services du Syndicat Mixte des Transports en Commun de l'Hérault. Les conditions d'exécution sont définies au cahier des clauses particulières (CCP) ; les articles et leurs prix figurent au bordereau des prix unitaires (BPU). Les cartouches d'encre, toners et photoconducteurs pour imprimantes sont exclus de la consultation.</w:t>
      </w:r>
    </w:p>
    <w:p w:rsidR="009B74B0" w:rsidRDefault="00CF67D4">
      <w:pPr>
        <w:spacing w:after="100" w:line="280" w:lineRule="auto"/>
      </w:pPr>
      <w:r>
        <w:t>Référence CPV : 30192000-1 (fournitures de bureau).</w:t>
      </w:r>
    </w:p>
    <w:p w:rsidR="009B74B0" w:rsidRDefault="00CF67D4">
      <w:pPr>
        <w:keepNext/>
        <w:spacing w:before="150" w:after="70"/>
      </w:pPr>
      <w:r>
        <w:rPr>
          <w:b/>
          <w:bCs/>
          <w:i/>
          <w:iCs/>
          <w:sz w:val="21"/>
          <w:szCs w:val="21"/>
        </w:rPr>
        <w:lastRenderedPageBreak/>
        <w:t>2.2. Procédure de passation</w:t>
      </w:r>
    </w:p>
    <w:p w:rsidR="009B74B0" w:rsidRDefault="00CF67D4">
      <w:pPr>
        <w:spacing w:after="100" w:line="280" w:lineRule="auto"/>
      </w:pPr>
      <w:r>
        <w:t>La consultation est lancée en procédure adaptée, conformément aux articles L.2123-1 et R.2123-1 et suivants du code de la commande publique. L'acheteur en détermine les modalités dans les limites du présent règlement (article R.2123-4).</w:t>
      </w:r>
    </w:p>
    <w:p w:rsidR="009B74B0" w:rsidRDefault="00CF67D4">
      <w:pPr>
        <w:spacing w:after="100" w:line="280" w:lineRule="auto"/>
      </w:pPr>
      <w:r>
        <w:t>Il se réserve la possibilité de négocier avec tous les candidats ayant remis une offre, à l'exception de ceux dont l'offre est inappropriée (article R.2152-1), sur le prix et sur le contenu de l'offre, ou d'attribuer le marché sur la base des offres initiales sans négociation (article R.2123-5). En cas de négociation, les offres irrégulières ou inacceptables peuvent devenir régulières ou acceptables au cours de celle-ci, à condition qu'elles ne soient pas anormalement basses (article R.2152-1).</w:t>
      </w:r>
    </w:p>
    <w:p w:rsidR="009B74B0" w:rsidRDefault="00CF67D4">
      <w:pPr>
        <w:keepNext/>
        <w:spacing w:before="150" w:after="70"/>
      </w:pPr>
      <w:r>
        <w:rPr>
          <w:b/>
          <w:bCs/>
          <w:i/>
          <w:iCs/>
          <w:sz w:val="21"/>
          <w:szCs w:val="21"/>
        </w:rPr>
        <w:t>2.3. Forme du marché</w:t>
      </w:r>
    </w:p>
    <w:p w:rsidR="009B74B0" w:rsidRDefault="00CF67D4">
      <w:pPr>
        <w:spacing w:after="100" w:line="280" w:lineRule="auto"/>
      </w:pPr>
      <w:r>
        <w:t>Conformément aux articles R.2162-1 à R.2162-6, R.2162-13 et R.2162-14 du code de la commande publique, la consultation donne lieu à un accord-cadre mono-attributaire exécuté au fur et à mesure de l'émission de bons de commande.</w:t>
      </w:r>
    </w:p>
    <w:p w:rsidR="009B74B0" w:rsidRDefault="00CF67D4">
      <w:pPr>
        <w:pStyle w:val="Titre1"/>
        <w:keepNext/>
        <w:pBdr>
          <w:bottom w:val="single" w:sz="6" w:space="5" w:color="C0392B"/>
        </w:pBdr>
        <w:spacing w:before="260" w:after="110"/>
      </w:pPr>
      <w:r>
        <w:rPr>
          <w:color w:val="C0392B"/>
        </w:rPr>
        <w:t xml:space="preserve">ARTICLE 3 — </w:t>
      </w:r>
      <w:r>
        <w:t>CARACTÉRISTIQUES DU MARCHÉ</w:t>
      </w:r>
    </w:p>
    <w:p w:rsidR="009B74B0" w:rsidRDefault="00CF67D4">
      <w:pPr>
        <w:keepNext/>
        <w:spacing w:before="150" w:after="70"/>
      </w:pPr>
      <w:r>
        <w:rPr>
          <w:b/>
          <w:bCs/>
          <w:i/>
          <w:iCs/>
          <w:sz w:val="21"/>
          <w:szCs w:val="21"/>
        </w:rPr>
        <w:t>3.1. Allotissement</w:t>
      </w:r>
    </w:p>
    <w:p w:rsidR="009B74B0" w:rsidRDefault="00CF67D4">
      <w:pPr>
        <w:spacing w:after="100" w:line="280" w:lineRule="auto"/>
      </w:pPr>
      <w:r>
        <w:t>Le marché n'est pas alloti (article L.2113-11, 2°, du code de la commande publique) : les articles du bordereau sont des fournitures courantes de même nature, commandées ensemble et livrées au même lieu ; leur dévolution en lots séparés multiplierait les commandes, les livraisons et les factures pour de faibles montants et rendrait l'exécution financièrement plus coûteuse.</w:t>
      </w:r>
    </w:p>
    <w:p w:rsidR="009B74B0" w:rsidRDefault="00CF67D4">
      <w:pPr>
        <w:keepNext/>
        <w:spacing w:before="150" w:after="70"/>
      </w:pPr>
      <w:r>
        <w:rPr>
          <w:b/>
          <w:bCs/>
          <w:i/>
          <w:iCs/>
          <w:sz w:val="21"/>
          <w:szCs w:val="21"/>
        </w:rPr>
        <w:t>3.2. Régime et montants</w:t>
      </w:r>
    </w:p>
    <w:p w:rsidR="009B74B0" w:rsidRDefault="00CF67D4">
      <w:pPr>
        <w:spacing w:after="100" w:line="280" w:lineRule="auto"/>
      </w:pPr>
      <w:r>
        <w:t>Marché mono-attributaire, exécuté par émission de bons de commande. Il est conclu sans montant minimum et dans la limite d'un montant maximum annuel de 12 000 € HT, soit 48 000 € HT sur la durée totale du marché (4 ans, reconductions comprises). La circonstance que ce maximum ne serait pas atteint n'ouvre aucun droit à indemnisation au bénéfice du titulaire. Les prestations sont rémunérées par application, aux quantités réellement commandées, des prix du bordereau ou, pour les articles qui n'y figurent pas, des prix publics du catalogue, dans les conditions et limites de l'article 8.2 du CCP.</w:t>
      </w:r>
    </w:p>
    <w:p w:rsidR="009B74B0" w:rsidRDefault="00CF67D4">
      <w:pPr>
        <w:keepNext/>
        <w:spacing w:before="150" w:after="70"/>
      </w:pPr>
      <w:r>
        <w:rPr>
          <w:b/>
          <w:bCs/>
          <w:i/>
          <w:iCs/>
          <w:sz w:val="21"/>
          <w:szCs w:val="21"/>
        </w:rPr>
        <w:t>3.3. Tranches optionnelles et prestations supplémentaires éventuelles</w:t>
      </w:r>
    </w:p>
    <w:p w:rsidR="009B74B0" w:rsidRDefault="00CF67D4">
      <w:pPr>
        <w:spacing w:after="100" w:line="280" w:lineRule="auto"/>
      </w:pPr>
      <w:r>
        <w:t>Le marché ne fait l'objet ni de tranches optionnelles, ni de prestations supplémentaires éventuelles.</w:t>
      </w:r>
    </w:p>
    <w:p w:rsidR="009B74B0" w:rsidRDefault="00CF67D4">
      <w:pPr>
        <w:keepNext/>
        <w:spacing w:before="150" w:after="70"/>
      </w:pPr>
      <w:r>
        <w:rPr>
          <w:b/>
          <w:bCs/>
          <w:i/>
          <w:iCs/>
          <w:sz w:val="21"/>
          <w:szCs w:val="21"/>
        </w:rPr>
        <w:t>3.4. Forme des prix</w:t>
      </w:r>
    </w:p>
    <w:p w:rsidR="009B74B0" w:rsidRDefault="00CF67D4">
      <w:pPr>
        <w:spacing w:after="100" w:line="280" w:lineRule="auto"/>
      </w:pPr>
      <w:r>
        <w:t>Le marché est passé à prix unitaires, conformément au BPU. Le détail quantitatif estimatif (DQE), établi à partir des besoins estimés de l'acheteur, n'a pas de valeur contractuelle : il sert uniquement à comparer les offres.</w:t>
      </w:r>
    </w:p>
    <w:p w:rsidR="009B74B0" w:rsidRDefault="00CF67D4">
      <w:pPr>
        <w:keepNext/>
        <w:spacing w:before="150" w:after="70"/>
      </w:pPr>
      <w:r>
        <w:rPr>
          <w:b/>
          <w:bCs/>
          <w:i/>
          <w:iCs/>
          <w:sz w:val="21"/>
          <w:szCs w:val="21"/>
        </w:rPr>
        <w:t>3.5. Modalités de paiement</w:t>
      </w:r>
    </w:p>
    <w:p w:rsidR="009B74B0" w:rsidRDefault="00CF67D4">
      <w:pPr>
        <w:spacing w:after="100" w:line="280" w:lineRule="auto"/>
      </w:pPr>
      <w:r>
        <w:t>Les prestations donnent lieu à un paiement par virement dans un délai de trente jours, dans les conditions prévues au CCP.</w:t>
      </w:r>
    </w:p>
    <w:p w:rsidR="009B74B0" w:rsidRDefault="00CF67D4">
      <w:pPr>
        <w:keepNext/>
        <w:spacing w:before="150" w:after="70"/>
      </w:pPr>
      <w:r>
        <w:rPr>
          <w:b/>
          <w:bCs/>
          <w:i/>
          <w:iCs/>
          <w:sz w:val="21"/>
          <w:szCs w:val="21"/>
        </w:rPr>
        <w:t>3.6. Durée du marché</w:t>
      </w:r>
    </w:p>
    <w:p w:rsidR="009B74B0" w:rsidRDefault="00CF67D4">
      <w:pPr>
        <w:spacing w:after="100" w:line="280" w:lineRule="auto"/>
      </w:pPr>
      <w:r>
        <w:t xml:space="preserve">Le marché est passé pour une durée d'un an à compter de sa notification. Il est reconductible 3 fois, par tacite reconduction, pour une durée d'un an, sans que sa durée totale ne puisse excéder 4 ans. Hérault Transport se réserve la possibilité de s'opposer à la reconduction par lettre recommandée avec accusé </w:t>
      </w:r>
      <w:r>
        <w:lastRenderedPageBreak/>
        <w:t>de réception, ou par tout moyen conférant date certaine, au moins deux (2) mois avant la date anniversaire ; le titulaire ne peut s'y opposer et la non-reconduction n'ouvre droit à aucune indemnité.</w:t>
      </w:r>
    </w:p>
    <w:p w:rsidR="009B74B0" w:rsidRDefault="00CF67D4">
      <w:pPr>
        <w:spacing w:after="100" w:line="280" w:lineRule="auto"/>
      </w:pPr>
      <w:r>
        <w:t>Le titulaire peut être appelé à livrer dès la notification du marché, sous réserve de la production préalable des attestations prévues aux articles 15 et 16 du CCP.</w:t>
      </w:r>
    </w:p>
    <w:p w:rsidR="009B74B0" w:rsidRDefault="00CF67D4">
      <w:pPr>
        <w:keepNext/>
        <w:spacing w:before="150" w:after="70"/>
      </w:pPr>
      <w:r>
        <w:rPr>
          <w:b/>
          <w:bCs/>
          <w:i/>
          <w:iCs/>
          <w:sz w:val="21"/>
          <w:szCs w:val="21"/>
        </w:rPr>
        <w:t>3.7. Lieu d'exécution</w:t>
      </w:r>
    </w:p>
    <w:p w:rsidR="009B74B0" w:rsidRDefault="00CF67D4">
      <w:pPr>
        <w:spacing w:after="100" w:line="280" w:lineRule="auto"/>
      </w:pPr>
      <w:r>
        <w:t xml:space="preserve">Les livraisons ont lieu aux locaux d'Hérault Transport, Bâtiment B, Bureau 005, 148 avenue du Professeur Viala, Parc </w:t>
      </w:r>
      <w:proofErr w:type="spellStart"/>
      <w:r>
        <w:t>Euromédecine</w:t>
      </w:r>
      <w:proofErr w:type="spellEnd"/>
      <w:r>
        <w:t xml:space="preserve"> II, CS 34303, 34193 Montpellier Cedex 5.</w:t>
      </w:r>
    </w:p>
    <w:p w:rsidR="009B74B0" w:rsidRDefault="00CF67D4">
      <w:pPr>
        <w:pStyle w:val="Titre1"/>
        <w:keepNext/>
        <w:pBdr>
          <w:bottom w:val="single" w:sz="6" w:space="5" w:color="C0392B"/>
        </w:pBdr>
        <w:spacing w:before="260" w:after="110"/>
      </w:pPr>
      <w:r>
        <w:rPr>
          <w:color w:val="C0392B"/>
        </w:rPr>
        <w:t xml:space="preserve">ARTICLE 4 — </w:t>
      </w:r>
      <w:r>
        <w:t>CONDITIONS DE LA CONSULTATION</w:t>
      </w:r>
    </w:p>
    <w:p w:rsidR="009B74B0" w:rsidRDefault="00CF67D4">
      <w:pPr>
        <w:keepNext/>
        <w:spacing w:before="150" w:after="70"/>
      </w:pPr>
      <w:r>
        <w:rPr>
          <w:b/>
          <w:bCs/>
          <w:i/>
          <w:iCs/>
          <w:sz w:val="21"/>
          <w:szCs w:val="21"/>
        </w:rPr>
        <w:t>4.1. Variantes</w:t>
      </w:r>
    </w:p>
    <w:p w:rsidR="009B74B0" w:rsidRDefault="00CF67D4">
      <w:pPr>
        <w:spacing w:after="100" w:line="280" w:lineRule="auto"/>
      </w:pPr>
      <w:r>
        <w:t>La présentation de variantes est interdite. Les désignations du BPU fixent les caractéristiques minimales des produits (nature, dimensions, grammage, contenance, nombre de feuilles ou d'unités par article, coloris et, pour les consommables informatiques, compatibilité avec les matériels du syndicat mixte). La quantité figurant dans la désignation (boîte de 5000, boîte de 100, lot de 25…) n'est qu'une unité de prix : le candidat peut proposer un conditionnement de vente différent, qu'il indique au BPU, sans que son offre soit de ce fait irrégulière ; son prix est alors calculé au prorata de la quantité de la désignation et arrondi au millième. Chaque ligne est chiffrée sur la base d'une seule référence du catalogue du candidat présentant ces caractéristiques, ou d'un produit équivalent au sens de l'article 3.5.2 du CCP, dont le candidat justifie l'équivalence par la fiche produit jointe au mémoire technique (article 7). Une ligne chiffrée sur un produit ni conforme ni équivalent rend l'offre irrégulière (article L.2152-2).</w:t>
      </w:r>
    </w:p>
    <w:p w:rsidR="009B74B0" w:rsidRDefault="00CF67D4">
      <w:pPr>
        <w:keepNext/>
        <w:spacing w:before="150" w:after="70"/>
      </w:pPr>
      <w:r>
        <w:rPr>
          <w:b/>
          <w:bCs/>
          <w:i/>
          <w:iCs/>
          <w:sz w:val="21"/>
          <w:szCs w:val="21"/>
        </w:rPr>
        <w:t>4.2. Prestations similaires</w:t>
      </w:r>
    </w:p>
    <w:p w:rsidR="009B74B0" w:rsidRDefault="00CF67D4">
      <w:pPr>
        <w:spacing w:after="100" w:line="280" w:lineRule="auto"/>
      </w:pPr>
      <w:r>
        <w:t>Sans objet.</w:t>
      </w:r>
    </w:p>
    <w:p w:rsidR="009B74B0" w:rsidRDefault="00CF67D4">
      <w:pPr>
        <w:keepNext/>
        <w:spacing w:before="150" w:after="70"/>
      </w:pPr>
      <w:r>
        <w:rPr>
          <w:b/>
          <w:bCs/>
          <w:i/>
          <w:iCs/>
          <w:sz w:val="21"/>
          <w:szCs w:val="21"/>
        </w:rPr>
        <w:t>4.3. Groupements d'opérateurs économiques</w:t>
      </w:r>
    </w:p>
    <w:p w:rsidR="009B74B0" w:rsidRDefault="00CF67D4">
      <w:pPr>
        <w:spacing w:after="100" w:line="280" w:lineRule="auto"/>
      </w:pPr>
      <w:r>
        <w:t>Le marché peut être attribué à un opérateur économique seul ou à un groupement d'opérateurs économiques (article R.2142-19 du code de la commande publique), conjoint ou solidaire (article R.2142-20). Hérault Transport n'impose aucune forme de groupement, ni pour la présentation des candidatures et des offres, ni après l'attribution (article R.2142-22). Le mandataire désigné dans la candidature et dans l'offre représente l'ensemble des membres vis-à-vis de l'acheteur et coordonne leurs prestations ; en cas de groupement conjoint, il n'est pas solidaire des autres membres (article R.2142-24). Il est interdit de présenter plusieurs candidatures en agissant à la fois en qualité de candidat individuel et de membre d'un ou plusieurs groupements, ou en qualité de membre de plusieurs groupements (article R.2142-21).</w:t>
      </w:r>
    </w:p>
    <w:p w:rsidR="009B74B0" w:rsidRDefault="00CF67D4">
      <w:pPr>
        <w:keepNext/>
        <w:spacing w:before="150" w:after="70"/>
      </w:pPr>
      <w:r>
        <w:rPr>
          <w:b/>
          <w:bCs/>
          <w:i/>
          <w:iCs/>
          <w:sz w:val="21"/>
          <w:szCs w:val="21"/>
        </w:rPr>
        <w:t>4.4. Communications et échanges avec les candidats</w:t>
      </w:r>
    </w:p>
    <w:p w:rsidR="009B74B0" w:rsidRDefault="00CF67D4">
      <w:pPr>
        <w:spacing w:after="100" w:line="280" w:lineRule="auto"/>
      </w:pPr>
      <w:r>
        <w:t>Les communications et échanges d'informations entre l'acheteur et les candidats ont lieu par voie électronique, via la messagerie du profil d'acheteur AWS-Achat d'Hérault Transport.</w:t>
      </w:r>
    </w:p>
    <w:p w:rsidR="009B74B0" w:rsidRDefault="00CF67D4">
      <w:pPr>
        <w:keepNext/>
        <w:spacing w:before="150" w:after="70"/>
      </w:pPr>
      <w:r>
        <w:rPr>
          <w:b/>
          <w:bCs/>
          <w:i/>
          <w:iCs/>
          <w:sz w:val="21"/>
          <w:szCs w:val="21"/>
        </w:rPr>
        <w:t>4.5. Durée de validité des offres</w:t>
      </w:r>
    </w:p>
    <w:p w:rsidR="009B74B0" w:rsidRDefault="00CF67D4">
      <w:pPr>
        <w:spacing w:after="100" w:line="280" w:lineRule="auto"/>
      </w:pPr>
      <w:r>
        <w:t>Le délai de validité des offres est fixé à 90 jours à compter de la date limite de réception des offres.</w:t>
      </w:r>
    </w:p>
    <w:p w:rsidR="009B74B0" w:rsidRDefault="00CF67D4">
      <w:pPr>
        <w:pStyle w:val="Titre1"/>
        <w:keepNext/>
        <w:pBdr>
          <w:bottom w:val="single" w:sz="6" w:space="5" w:color="C0392B"/>
        </w:pBdr>
        <w:spacing w:before="260" w:after="110"/>
      </w:pPr>
      <w:r>
        <w:rPr>
          <w:color w:val="C0392B"/>
        </w:rPr>
        <w:lastRenderedPageBreak/>
        <w:t xml:space="preserve">ARTICLE 5 — </w:t>
      </w:r>
      <w:r>
        <w:t>DOSSIER DE CONSULTATION DES ENTREPRISES</w:t>
      </w:r>
    </w:p>
    <w:p w:rsidR="009B74B0" w:rsidRDefault="00CF67D4">
      <w:pPr>
        <w:keepNext/>
        <w:spacing w:before="150" w:after="70"/>
      </w:pPr>
      <w:r>
        <w:rPr>
          <w:b/>
          <w:bCs/>
          <w:i/>
          <w:iCs/>
          <w:sz w:val="21"/>
          <w:szCs w:val="21"/>
        </w:rPr>
        <w:t>5.1. Contenu du dossier de consultation</w:t>
      </w:r>
    </w:p>
    <w:p w:rsidR="009B74B0" w:rsidRDefault="00CF67D4">
      <w:pPr>
        <w:spacing w:after="100" w:line="280" w:lineRule="auto"/>
      </w:pPr>
      <w:r>
        <w:t>Le dossier de consultation comprend : le présent règlement de la consultation (RC), l'acte d'engagement (AE), le cahier des clauses particulières (CCP) et son annexe 1 (fiche de mise à jour du BPU), le bordereau des prix unitaires (BPU) et le détail quantitatif estimatif (DQE), présentés dans un même classeur tableur.</w:t>
      </w:r>
    </w:p>
    <w:p w:rsidR="009B74B0" w:rsidRDefault="00CF67D4">
      <w:pPr>
        <w:keepNext/>
        <w:spacing w:before="150" w:after="70"/>
      </w:pPr>
      <w:r>
        <w:rPr>
          <w:b/>
          <w:bCs/>
          <w:i/>
          <w:iCs/>
          <w:sz w:val="21"/>
          <w:szCs w:val="21"/>
        </w:rPr>
        <w:t>5.2. Accès au dossier de consultation</w:t>
      </w:r>
    </w:p>
    <w:p w:rsidR="009B74B0" w:rsidRDefault="00CF67D4">
      <w:pPr>
        <w:spacing w:after="100" w:line="280" w:lineRule="auto"/>
      </w:pPr>
      <w:r>
        <w:t>Le dossier de consultation fait l'objet d'un accès gratuit, complet, direct et sans restriction sur le profil d'acheteur d'Hérault Transport (plateforme AWS-Achat), à l'adresse indiquée dans l'avis de publicité. Aucune copie papier n'est délivrée.</w:t>
      </w:r>
    </w:p>
    <w:p w:rsidR="009B74B0" w:rsidRDefault="00CF67D4">
      <w:pPr>
        <w:keepNext/>
        <w:spacing w:before="150" w:after="70"/>
      </w:pPr>
      <w:r>
        <w:rPr>
          <w:b/>
          <w:bCs/>
          <w:i/>
          <w:iCs/>
          <w:sz w:val="21"/>
          <w:szCs w:val="21"/>
        </w:rPr>
        <w:t>5.3. Modification du dossier de consultation</w:t>
      </w:r>
    </w:p>
    <w:p w:rsidR="009B74B0" w:rsidRDefault="00CF67D4">
      <w:pPr>
        <w:spacing w:after="100" w:line="280" w:lineRule="auto"/>
      </w:pPr>
      <w:r>
        <w:t>L'acheteur peut apporter des modifications de détail au dossier de consultation au plus tard six (6) jours avant la date limite de réception des offres. Les candidats répondent sur la base du dossier modifié. Si une modification nécessite un délai supplémentaire pour l'élaboration des offres, la date limite est reportée et la nouvelle date est portée à la connaissance de tous les candidats.</w:t>
      </w:r>
    </w:p>
    <w:p w:rsidR="009B74B0" w:rsidRDefault="00CF67D4">
      <w:pPr>
        <w:keepNext/>
        <w:spacing w:before="150" w:after="70"/>
      </w:pPr>
      <w:r>
        <w:rPr>
          <w:b/>
          <w:bCs/>
          <w:i/>
          <w:iCs/>
          <w:sz w:val="21"/>
          <w:szCs w:val="21"/>
        </w:rPr>
        <w:t>5.4. Demandes de renseignements complémentaires</w:t>
      </w:r>
    </w:p>
    <w:p w:rsidR="009B74B0" w:rsidRDefault="00CF67D4">
      <w:pPr>
        <w:spacing w:after="100" w:line="280" w:lineRule="auto"/>
      </w:pPr>
      <w:r>
        <w:t>Les candidats adressent leurs questions par voie électronique sur le profil d'acheteur, au plus tard dix (10) jours avant la date limite de réception des offres. L'acheteur y répond au plus tard six (6) jours avant cette date, la réponse étant portée à la connaissance de tous les candidats.</w:t>
      </w:r>
    </w:p>
    <w:p w:rsidR="009B74B0" w:rsidRDefault="00CF67D4">
      <w:pPr>
        <w:pStyle w:val="Titre1"/>
        <w:keepNext/>
        <w:pBdr>
          <w:bottom w:val="single" w:sz="6" w:space="5" w:color="C0392B"/>
        </w:pBdr>
        <w:spacing w:before="260" w:after="110"/>
      </w:pPr>
      <w:r>
        <w:rPr>
          <w:color w:val="C0392B"/>
        </w:rPr>
        <w:t xml:space="preserve">ARTICLE 6 — </w:t>
      </w:r>
      <w:r>
        <w:t>CONTENU DES CANDIDATURES</w:t>
      </w:r>
    </w:p>
    <w:p w:rsidR="009B74B0" w:rsidRDefault="00CF67D4">
      <w:pPr>
        <w:spacing w:after="100" w:line="280" w:lineRule="auto"/>
      </w:pPr>
      <w:r>
        <w:t>La candidature comprend les pièces suivantes, adaptées à l'objet et au montant du marché :</w:t>
      </w:r>
    </w:p>
    <w:p w:rsidR="009B74B0" w:rsidRDefault="00CF67D4">
      <w:pPr>
        <w:pStyle w:val="Paragraphedeliste"/>
        <w:numPr>
          <w:ilvl w:val="0"/>
          <w:numId w:val="2"/>
        </w:numPr>
        <w:spacing w:after="50"/>
      </w:pPr>
      <w:proofErr w:type="gramStart"/>
      <w:r>
        <w:t>une</w:t>
      </w:r>
      <w:proofErr w:type="gramEnd"/>
      <w:r>
        <w:t xml:space="preserve"> lettre de candidature comprenant la déclaration sur l'honneur de ne pas entrer dans les cas d'exclusion de soumissionner des articles L.2141-1 à L.2141-5 et L.2141-7 à L.2141-11 du code de la commande publique, et de satisfaire à l'obligation d'emploi des travailleurs handicapés (articles L.5212-1 à L.5212-11 du code du travail). En cas de groupement, elle désigne les membres, le mandataire et ses habilitations ;</w:t>
      </w:r>
    </w:p>
    <w:p w:rsidR="009B74B0" w:rsidRDefault="00CF67D4">
      <w:pPr>
        <w:pStyle w:val="Paragraphedeliste"/>
        <w:numPr>
          <w:ilvl w:val="0"/>
          <w:numId w:val="2"/>
        </w:numPr>
        <w:spacing w:after="50"/>
      </w:pPr>
      <w:proofErr w:type="gramStart"/>
      <w:r>
        <w:t>une</w:t>
      </w:r>
      <w:proofErr w:type="gramEnd"/>
      <w:r>
        <w:t xml:space="preserve"> déclaration concernant le chiffre d'affaires global et le chiffre d'affaires des fournitures de bureau portant sur les trois derniers exercices disponibles ;</w:t>
      </w:r>
    </w:p>
    <w:p w:rsidR="009B74B0" w:rsidRDefault="00CF67D4">
      <w:pPr>
        <w:pStyle w:val="Paragraphedeliste"/>
        <w:numPr>
          <w:ilvl w:val="0"/>
          <w:numId w:val="2"/>
        </w:numPr>
        <w:spacing w:after="50"/>
      </w:pPr>
      <w:proofErr w:type="gramStart"/>
      <w:r>
        <w:t>une</w:t>
      </w:r>
      <w:proofErr w:type="gramEnd"/>
      <w:r>
        <w:t xml:space="preserve"> liste des principales fournitures de bureau livrées au cours des trois dernières années, indiquant le montant, la date et le destinataire public ou privé ;</w:t>
      </w:r>
    </w:p>
    <w:p w:rsidR="009B74B0" w:rsidRDefault="00CF67D4">
      <w:pPr>
        <w:pStyle w:val="Paragraphedeliste"/>
        <w:numPr>
          <w:ilvl w:val="0"/>
          <w:numId w:val="2"/>
        </w:numPr>
        <w:spacing w:after="110"/>
      </w:pPr>
      <w:proofErr w:type="gramStart"/>
      <w:r>
        <w:t>une</w:t>
      </w:r>
      <w:proofErr w:type="gramEnd"/>
      <w:r>
        <w:t xml:space="preserve"> description des moyens de stockage et de livraison dont le candidat disposera pour l'exécution du marché (zone de livraison, catalogue, commande en ligne).</w:t>
      </w:r>
    </w:p>
    <w:p w:rsidR="009B74B0" w:rsidRDefault="00CF67D4">
      <w:pPr>
        <w:spacing w:after="100" w:line="280" w:lineRule="auto"/>
      </w:pPr>
      <w:r>
        <w:t>Les candidats peuvent utiliser les formulaires DC1 et DC2, disponibles sur https://www.economie.gouv.fr/daj/formulaires-declaration-du-candidat, ou le document unique de marché européen (DUME). En cas de groupement, les documents sont fournis par chaque membre, à l'exception de la lettre de candidature, fournie en un seul exemplaire. Les candidats ne sont pas tenus de fournir les documents déjà transmis dans le cadre d'une précédente consultation et demeurant valables, ni ceux que l'acheteur peut obtenir gratuitement par un système électronique officiel. L'appréciation des capacités d'un groupement est globale ; le candidat peut faire valoir les capacités d'autres opérateurs économiques sous réserve d'apporter la preuve qu'il en disposera pour l'exécution du marché.</w:t>
      </w:r>
    </w:p>
    <w:p w:rsidR="009B74B0" w:rsidRDefault="00CF67D4">
      <w:pPr>
        <w:pStyle w:val="Titre1"/>
        <w:keepNext/>
        <w:pBdr>
          <w:bottom w:val="single" w:sz="6" w:space="5" w:color="C0392B"/>
        </w:pBdr>
        <w:spacing w:before="260" w:after="110"/>
      </w:pPr>
      <w:r>
        <w:rPr>
          <w:color w:val="C0392B"/>
        </w:rPr>
        <w:lastRenderedPageBreak/>
        <w:t xml:space="preserve">ARTICLE 7 — </w:t>
      </w:r>
      <w:r>
        <w:t>CONTENU DES OFFRES</w:t>
      </w:r>
    </w:p>
    <w:p w:rsidR="009B74B0" w:rsidRDefault="00CF67D4">
      <w:pPr>
        <w:spacing w:after="100" w:line="280" w:lineRule="auto"/>
      </w:pPr>
      <w:r>
        <w:t>L'offre comprend les pièces suivantes :</w:t>
      </w:r>
    </w:p>
    <w:p w:rsidR="009B74B0" w:rsidRDefault="00CF67D4">
      <w:pPr>
        <w:pStyle w:val="Paragraphedeliste"/>
        <w:numPr>
          <w:ilvl w:val="0"/>
          <w:numId w:val="2"/>
        </w:numPr>
        <w:spacing w:after="50"/>
      </w:pPr>
      <w:proofErr w:type="gramStart"/>
      <w:r>
        <w:t>l'acte</w:t>
      </w:r>
      <w:proofErr w:type="gramEnd"/>
      <w:r>
        <w:t xml:space="preserve"> d'engagement complété dans toutes ses rubriques (montant du DQE, délai de livraison, interlocuteur, adresse de réception des bons de commande, coordonnées bancaires, assurance) ;</w:t>
      </w:r>
    </w:p>
    <w:p w:rsidR="009B74B0" w:rsidRDefault="00CF67D4">
      <w:pPr>
        <w:pStyle w:val="Paragraphedeliste"/>
        <w:numPr>
          <w:ilvl w:val="0"/>
          <w:numId w:val="2"/>
        </w:numPr>
        <w:spacing w:after="50"/>
      </w:pPr>
      <w:r>
        <w:t>le classeur BPU/DQE : le candidat renseigne, pour chaque ligne du BPU, la référence produit, la page du catalogue ou le lien vers la fiche produit, le prix unitaire hors taxes et le conditionnement de vente de la référence proposée ; le prix est exprimé pour la quantité figurant dans la désignation ou, à défaut, à l'unité, au prorata, arrondi au millième, si le conditionnement de vente proposé est différent, et les commandes sont passées en multiples du conditionnement de vente ; le DQE se calcule à partir du BPU et n'est pas modifié ;</w:t>
      </w:r>
    </w:p>
    <w:p w:rsidR="009B74B0" w:rsidRDefault="00CF67D4">
      <w:pPr>
        <w:pStyle w:val="Paragraphedeliste"/>
        <w:numPr>
          <w:ilvl w:val="0"/>
          <w:numId w:val="2"/>
        </w:numPr>
        <w:spacing w:after="50"/>
      </w:pPr>
      <w:proofErr w:type="gramStart"/>
      <w:r>
        <w:t>le</w:t>
      </w:r>
      <w:proofErr w:type="gramEnd"/>
      <w:r>
        <w:t xml:space="preserve"> catalogue en vigueur du candidat, au format électronique, mentionnant les prix publics hors taxes ; ce catalogue sert de base aux commandes d'articles non désignés au BPU (article 8.2 du CCP) ;</w:t>
      </w:r>
    </w:p>
    <w:p w:rsidR="009B74B0" w:rsidRDefault="00CF67D4">
      <w:pPr>
        <w:pStyle w:val="Paragraphedeliste"/>
        <w:numPr>
          <w:ilvl w:val="0"/>
          <w:numId w:val="2"/>
        </w:numPr>
        <w:spacing w:after="110"/>
      </w:pPr>
      <w:proofErr w:type="gramStart"/>
      <w:r>
        <w:t>un</w:t>
      </w:r>
      <w:proofErr w:type="gramEnd"/>
      <w:r>
        <w:t xml:space="preserve"> mémoire technique comprenant les éléments ci-dessous.</w:t>
      </w:r>
    </w:p>
    <w:p w:rsidR="009B74B0" w:rsidRDefault="00CF67D4">
      <w:pPr>
        <w:spacing w:after="100" w:line="280" w:lineRule="auto"/>
      </w:pPr>
      <w:r>
        <w:rPr>
          <w:b/>
          <w:bCs/>
        </w:rPr>
        <w:t>Délais, approvisionnement et gestion des ruptures et déréférencements</w:t>
      </w:r>
      <w:r>
        <w:t xml:space="preserve"> (sous-critère technique n° 1) : organisation des livraisons (zone, tournées, délai engagé), niveau de stock, traitement des ruptures de stock, procédure proposée pour le remplacement d'un produit déréférencé dans les conditions de l'article 3.5 du CCP (délai de notification de l'équivalent, communication de la fiche produit).</w:t>
      </w:r>
    </w:p>
    <w:p w:rsidR="009B74B0" w:rsidRDefault="00CF67D4">
      <w:pPr>
        <w:spacing w:after="100" w:line="280" w:lineRule="auto"/>
      </w:pPr>
      <w:r>
        <w:rPr>
          <w:b/>
          <w:bCs/>
        </w:rPr>
        <w:t>Service client et suivi</w:t>
      </w:r>
      <w:r>
        <w:t xml:space="preserve"> (sous-critère technique n° 2) : interlocuteur dédié et suppléant, outil de commande et de suivi en ligne, délais de réponse, modèle de bilan annuel de l'article 7.3 du CCP.</w:t>
      </w:r>
    </w:p>
    <w:p w:rsidR="009B74B0" w:rsidRDefault="00CF67D4">
      <w:pPr>
        <w:spacing w:after="100" w:line="280" w:lineRule="auto"/>
      </w:pPr>
      <w:r>
        <w:rPr>
          <w:b/>
          <w:bCs/>
        </w:rPr>
        <w:t>Qualité et adéquation de la gamme</w:t>
      </w:r>
      <w:r>
        <w:t xml:space="preserve"> (sous-critère technique n° 3) : pour chaque famille de produits, niveaux de gamme proposés et qualité des produits au-delà des caractéristiques minimales des désignations ; fiche produit pour tout produit équivalent (article 4.1) ; garanties offertes.</w:t>
      </w:r>
    </w:p>
    <w:p w:rsidR="009B74B0" w:rsidRDefault="00CF67D4">
      <w:pPr>
        <w:spacing w:after="100" w:line="280" w:lineRule="auto"/>
      </w:pPr>
      <w:r>
        <w:rPr>
          <w:b/>
          <w:bCs/>
        </w:rPr>
        <w:t>Performance environnementale</w:t>
      </w:r>
      <w:r>
        <w:t xml:space="preserve"> (sous-critères environnementaux n° 1 et n° 2) : liste des lignes du BPU proposées en produits porteurs d'un écolabel officiel, rechargeables ou recyclés, avec l'écolabel ou la teneur en matières recyclées ; engagements allant au-delà des obligations des articles 3.3.2 et 3.6 du CCP sur les emballages et les livraisons (emballages recyclés ou réemployés, nombre et mode des livraisons).</w:t>
      </w:r>
    </w:p>
    <w:p w:rsidR="009B74B0" w:rsidRDefault="00CF67D4">
      <w:pPr>
        <w:spacing w:after="100" w:line="280" w:lineRule="auto"/>
      </w:pPr>
      <w:r>
        <w:t>Le cas échéant, l'offre indique les prestations dont la sous-traitance est envisagée et les sous-traitants proposés, au moyen de la déclaration prévue à l'article R.2193-1 du code de la commande publique (formulaire DC4 ou équivalent) ; la notification du marché emporte alors acceptation du sous-traitant et agrément de ses conditions de paiement (article R.2193-2). Le dépôt de l'offre vaut acceptation sans réserve du CCP, sans qu'un paraphe de ce document soit exigé.</w:t>
      </w:r>
    </w:p>
    <w:p w:rsidR="009B74B0" w:rsidRDefault="00CF67D4">
      <w:pPr>
        <w:pStyle w:val="Titre1"/>
        <w:keepNext/>
        <w:pBdr>
          <w:bottom w:val="single" w:sz="6" w:space="5" w:color="C0392B"/>
        </w:pBdr>
        <w:spacing w:before="260" w:after="110"/>
      </w:pPr>
      <w:r>
        <w:rPr>
          <w:color w:val="C0392B"/>
        </w:rPr>
        <w:t xml:space="preserve">ARTICLE 8 — </w:t>
      </w:r>
      <w:r>
        <w:t>CONDITIONS DE REMISE DES CANDIDATURES ET DES OFFRES</w:t>
      </w:r>
    </w:p>
    <w:p w:rsidR="009B74B0" w:rsidRDefault="00CF67D4">
      <w:pPr>
        <w:keepNext/>
        <w:spacing w:before="150" w:after="70"/>
      </w:pPr>
      <w:r>
        <w:rPr>
          <w:b/>
          <w:bCs/>
          <w:i/>
          <w:iCs/>
          <w:sz w:val="21"/>
          <w:szCs w:val="21"/>
        </w:rPr>
        <w:t>8.1. Date et heure limites</w:t>
      </w:r>
    </w:p>
    <w:p w:rsidR="009B74B0" w:rsidRDefault="00CF67D4">
      <w:pPr>
        <w:spacing w:after="100" w:line="280" w:lineRule="auto"/>
      </w:pPr>
      <w:r>
        <w:t xml:space="preserve">La date et l'heure limites de réception des offres sont fixées au </w:t>
      </w:r>
      <w:r w:rsidR="00EE2038">
        <w:t>20 novembre 2026 à 12h00,</w:t>
      </w:r>
      <w:bookmarkStart w:id="0" w:name="_GoBack"/>
      <w:bookmarkEnd w:id="0"/>
      <w:r>
        <w:t xml:space="preserve"> comme indiqué en page de garde du présent règlement.</w:t>
      </w:r>
    </w:p>
    <w:p w:rsidR="009B74B0" w:rsidRDefault="00CF67D4">
      <w:pPr>
        <w:keepNext/>
        <w:spacing w:before="150" w:after="70"/>
      </w:pPr>
      <w:r>
        <w:rPr>
          <w:b/>
          <w:bCs/>
          <w:i/>
          <w:iCs/>
          <w:sz w:val="21"/>
          <w:szCs w:val="21"/>
        </w:rPr>
        <w:t>8.2. Modalités de remise</w:t>
      </w:r>
    </w:p>
    <w:p w:rsidR="009B74B0" w:rsidRDefault="00CF67D4">
      <w:pPr>
        <w:spacing w:after="100" w:line="280" w:lineRule="auto"/>
      </w:pPr>
      <w:r>
        <w:t>Les candidatures et offres sont remises par voie dématérialisée sur le profil d'acheteur d'Hérault Transport. Aucune candidature ou offre remise par un autre moyen n'est acceptée. Chaque transmission fait l'objet d'un accusé de réception électronique daté. Le fuseau horaire de référence est l'heure de Paris. Les formats acceptés sont : .doc, .</w:t>
      </w:r>
      <w:proofErr w:type="spellStart"/>
      <w:r>
        <w:t>docx</w:t>
      </w:r>
      <w:proofErr w:type="spellEnd"/>
      <w:r>
        <w:t>, .</w:t>
      </w:r>
      <w:proofErr w:type="spellStart"/>
      <w:r>
        <w:t>xls</w:t>
      </w:r>
      <w:proofErr w:type="spellEnd"/>
      <w:r>
        <w:t>, .</w:t>
      </w:r>
      <w:proofErr w:type="spellStart"/>
      <w:r>
        <w:t>xlsx</w:t>
      </w:r>
      <w:proofErr w:type="spellEnd"/>
      <w:r>
        <w:t>, .</w:t>
      </w:r>
      <w:proofErr w:type="spellStart"/>
      <w:r>
        <w:t>ods</w:t>
      </w:r>
      <w:proofErr w:type="spellEnd"/>
      <w:r>
        <w:t>, .</w:t>
      </w:r>
      <w:proofErr w:type="spellStart"/>
      <w:r>
        <w:t>pdf</w:t>
      </w:r>
      <w:proofErr w:type="spellEnd"/>
      <w:r>
        <w:t xml:space="preserve">, .zip ; les fichiers </w:t>
      </w:r>
      <w:r>
        <w:lastRenderedPageBreak/>
        <w:t>exécutables sont interdits. Le candidat transmet son offre en une seule fois ; en cas de transmissions multiples, seule la dernière offre reçue dans le délai est ouverte.</w:t>
      </w:r>
    </w:p>
    <w:p w:rsidR="009B74B0" w:rsidRDefault="00CF67D4">
      <w:pPr>
        <w:keepNext/>
        <w:spacing w:before="150" w:after="70"/>
      </w:pPr>
      <w:r>
        <w:rPr>
          <w:b/>
          <w:bCs/>
          <w:i/>
          <w:iCs/>
          <w:sz w:val="21"/>
          <w:szCs w:val="21"/>
        </w:rPr>
        <w:t>8.3. Copie de sauvegarde</w:t>
      </w:r>
    </w:p>
    <w:p w:rsidR="009B74B0" w:rsidRDefault="00CF67D4">
      <w:pPr>
        <w:spacing w:after="100" w:line="280" w:lineRule="auto"/>
      </w:pPr>
      <w:r>
        <w:t xml:space="preserve">Le candidat peut faire parvenir, avant la date et l'heure limites de réception des offres, une copie de sauvegarde sur support physique électronique ou sur support papier, sous pli cacheté adressé à Hérault Transport, service des ressources humaines et des affaires générales, 148 avenue du Professeur Viala, Parc </w:t>
      </w:r>
      <w:proofErr w:type="spellStart"/>
      <w:r>
        <w:t>Euromédecine</w:t>
      </w:r>
      <w:proofErr w:type="spellEnd"/>
      <w:r>
        <w:t xml:space="preserve"> II, CS 34303, 34193 Montpellier Cedex 5, indiquant le nom du candidat et l'objet de la consultation et portant la mention « copie de sauvegarde – ne pas ouvrir ». Elle n'est ouverte qu'en cas de détection d'un programme malveillant dans le pli électronique, ou lorsque celui-ci est reçu de façon incomplète, hors délai, ou n'a pu être ouvert.</w:t>
      </w:r>
    </w:p>
    <w:p w:rsidR="009B74B0" w:rsidRDefault="00CF67D4">
      <w:pPr>
        <w:keepNext/>
        <w:spacing w:before="150" w:after="70"/>
      </w:pPr>
      <w:r>
        <w:rPr>
          <w:b/>
          <w:bCs/>
          <w:i/>
          <w:iCs/>
          <w:sz w:val="21"/>
          <w:szCs w:val="21"/>
        </w:rPr>
        <w:t>8.4. Signature</w:t>
      </w:r>
    </w:p>
    <w:p w:rsidR="009B74B0" w:rsidRDefault="00CF67D4">
      <w:pPr>
        <w:spacing w:after="100" w:line="280" w:lineRule="auto"/>
      </w:pPr>
      <w:r>
        <w:t>La signature de l'acte d'engagement n'est exigée que du seul candidat désigné attributaire, avant la notification du marché. Lorsqu'elle est électronique, elle prend la forme d'une signature électronique avancée reposant sur un certificat qualifié, au sens du règlement (UE) n° 910/2014 du 23 juillet 2014 (</w:t>
      </w:r>
      <w:proofErr w:type="spellStart"/>
      <w:r>
        <w:t>eIDAS</w:t>
      </w:r>
      <w:proofErr w:type="spellEnd"/>
      <w:r>
        <w:t>), conformément à l'arrêté du 22 mars 2019 relatif à la signature électronique des contrats de la commande publique.</w:t>
      </w:r>
    </w:p>
    <w:p w:rsidR="009B74B0" w:rsidRDefault="00CF67D4">
      <w:pPr>
        <w:pStyle w:val="Titre1"/>
        <w:keepNext/>
        <w:pBdr>
          <w:bottom w:val="single" w:sz="6" w:space="5" w:color="C0392B"/>
        </w:pBdr>
        <w:spacing w:before="260" w:after="110"/>
      </w:pPr>
      <w:r>
        <w:rPr>
          <w:color w:val="C0392B"/>
        </w:rPr>
        <w:t xml:space="preserve">ARTICLE 9 — </w:t>
      </w:r>
      <w:r>
        <w:t>ANALYSE DES CANDIDATURES ET DES OFFRES</w:t>
      </w:r>
    </w:p>
    <w:p w:rsidR="009B74B0" w:rsidRDefault="00CF67D4">
      <w:pPr>
        <w:keepNext/>
        <w:spacing w:before="150" w:after="70"/>
      </w:pPr>
      <w:r>
        <w:rPr>
          <w:b/>
          <w:bCs/>
          <w:i/>
          <w:iCs/>
          <w:sz w:val="21"/>
          <w:szCs w:val="21"/>
        </w:rPr>
        <w:t>9.1. Analyse des candidatures</w:t>
      </w:r>
    </w:p>
    <w:p w:rsidR="009B74B0" w:rsidRDefault="00CF67D4">
      <w:pPr>
        <w:spacing w:after="100" w:line="280" w:lineRule="auto"/>
      </w:pPr>
      <w:r>
        <w:t>L'acheteur qui constate que des pièces réclamées au titre de la candidature sont absentes ou incomplètes peut demander à tous les candidats concernés de compléter leur dossier dans un délai identique pour tous. La vérification des capacités peut intervenir à tout moment de la procédure, au plus tard avant l'attribution du marché.</w:t>
      </w:r>
    </w:p>
    <w:p w:rsidR="009B74B0" w:rsidRDefault="00CF67D4">
      <w:pPr>
        <w:keepNext/>
        <w:spacing w:before="150" w:after="70"/>
      </w:pPr>
      <w:r>
        <w:rPr>
          <w:b/>
          <w:bCs/>
          <w:i/>
          <w:iCs/>
          <w:sz w:val="21"/>
          <w:szCs w:val="21"/>
        </w:rPr>
        <w:t>9.2. Critères de jugement des offres</w:t>
      </w:r>
    </w:p>
    <w:p w:rsidR="009B74B0" w:rsidRDefault="00CF67D4">
      <w:pPr>
        <w:spacing w:after="100" w:line="280" w:lineRule="auto"/>
      </w:pPr>
      <w:r>
        <w:t>Conformément aux articles L.2152-7 et R.2152-7 du code de la commande publique, le marché est attribué à l'offre économiquement la plus avantageuse, appréciée selon les critères pondérés suivants, tous liés à l'objet du marché ou à ses conditions d'exécution :</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570"/>
        <w:gridCol w:w="1500"/>
      </w:tblGrid>
      <w:tr w:rsidR="009B74B0">
        <w:trPr>
          <w:cantSplit/>
          <w:tblHeader/>
        </w:trPr>
        <w:tc>
          <w:tcPr>
            <w:tcW w:w="7570" w:type="dxa"/>
            <w:tcBorders>
              <w:top w:val="single" w:sz="2" w:space="0" w:color="BFBFBF"/>
              <w:left w:val="single" w:sz="2" w:space="0" w:color="BFBFBF"/>
              <w:bottom w:val="single" w:sz="2" w:space="0" w:color="BFBFBF"/>
              <w:right w:val="single" w:sz="2" w:space="0" w:color="BFBFBF"/>
            </w:tcBorders>
            <w:shd w:val="clear" w:color="auto" w:fill="C0392B"/>
            <w:tcMar>
              <w:top w:w="60" w:type="dxa"/>
              <w:left w:w="100" w:type="dxa"/>
              <w:bottom w:w="60" w:type="dxa"/>
              <w:right w:w="100" w:type="dxa"/>
            </w:tcMar>
            <w:vAlign w:val="center"/>
          </w:tcPr>
          <w:p w:rsidR="009B74B0" w:rsidRDefault="00CF67D4">
            <w:pPr>
              <w:spacing w:line="280" w:lineRule="auto"/>
            </w:pPr>
            <w:r>
              <w:rPr>
                <w:b/>
                <w:bCs/>
                <w:color w:val="FFFFFF"/>
                <w:sz w:val="19"/>
                <w:szCs w:val="19"/>
              </w:rPr>
              <w:t>Critère</w:t>
            </w:r>
          </w:p>
        </w:tc>
        <w:tc>
          <w:tcPr>
            <w:tcW w:w="1500" w:type="dxa"/>
            <w:tcBorders>
              <w:top w:val="single" w:sz="2" w:space="0" w:color="BFBFBF"/>
              <w:left w:val="single" w:sz="2" w:space="0" w:color="BFBFBF"/>
              <w:bottom w:val="single" w:sz="2" w:space="0" w:color="BFBFBF"/>
              <w:right w:val="single" w:sz="2" w:space="0" w:color="BFBFBF"/>
            </w:tcBorders>
            <w:shd w:val="clear" w:color="auto" w:fill="C0392B"/>
            <w:tcMar>
              <w:top w:w="60" w:type="dxa"/>
              <w:left w:w="100" w:type="dxa"/>
              <w:bottom w:w="60" w:type="dxa"/>
              <w:right w:w="100" w:type="dxa"/>
            </w:tcMar>
            <w:vAlign w:val="center"/>
          </w:tcPr>
          <w:p w:rsidR="009B74B0" w:rsidRDefault="00CF67D4">
            <w:pPr>
              <w:spacing w:line="280" w:lineRule="auto"/>
            </w:pPr>
            <w:r>
              <w:rPr>
                <w:b/>
                <w:bCs/>
                <w:color w:val="FFFFFF"/>
                <w:sz w:val="19"/>
                <w:szCs w:val="19"/>
              </w:rPr>
              <w:t>Pondération</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b/>
                <w:bCs/>
                <w:sz w:val="19"/>
                <w:szCs w:val="19"/>
              </w:rPr>
              <w:t>PRIX</w:t>
            </w:r>
            <w:r>
              <w:rPr>
                <w:sz w:val="19"/>
                <w:szCs w:val="19"/>
              </w:rPr>
              <w:t xml:space="preserve"> — montant total HT du DQE, calculé à partir des prix du BPU : (offre la moins </w:t>
            </w:r>
            <w:proofErr w:type="spellStart"/>
            <w:r>
              <w:rPr>
                <w:sz w:val="19"/>
                <w:szCs w:val="19"/>
              </w:rPr>
              <w:t>disante</w:t>
            </w:r>
            <w:proofErr w:type="spellEnd"/>
            <w:r>
              <w:rPr>
                <w:sz w:val="19"/>
                <w:szCs w:val="19"/>
              </w:rPr>
              <w:t xml:space="preserve"> / offre analysée) × 50</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b/>
                <w:bCs/>
                <w:sz w:val="19"/>
                <w:szCs w:val="19"/>
              </w:rPr>
              <w:t>50 %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b/>
                <w:bCs/>
                <w:sz w:val="19"/>
                <w:szCs w:val="19"/>
              </w:rPr>
              <w:t>VALEUR TECHNIQUE</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b/>
                <w:bCs/>
                <w:sz w:val="19"/>
                <w:szCs w:val="19"/>
              </w:rPr>
              <w:t>35 %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1. Délais, fiabilité de l'approvisionnement et gestion des ruptures et des déréférencements — délai de livraison engagé à l'acte d'engagement, organisation des stocks et des livraisons, procédure de remplacement des produits déréférencés (article 3.5 du CCP)</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15 %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2. Qualité du service client et du suivi — interlocuteur dédié, outil de commande et de suivi en ligne, délais de réponse, bilan annuel</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10 %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3. Qualité et adéquation de la gamme proposée — niveaux de gamme et qualité des produits au-delà des caractéristiques minimales des désignations du BPU, garanties</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10 %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b/>
                <w:bCs/>
                <w:sz w:val="19"/>
                <w:szCs w:val="19"/>
              </w:rPr>
              <w:t>PERFORMANCE ENVIRONNEMENTALE</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b/>
                <w:bCs/>
                <w:sz w:val="19"/>
                <w:szCs w:val="19"/>
              </w:rPr>
              <w:t>15 %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 xml:space="preserve">1. Part des lignes du BPU proposées en produits </w:t>
            </w:r>
            <w:proofErr w:type="spellStart"/>
            <w:r>
              <w:rPr>
                <w:sz w:val="19"/>
                <w:szCs w:val="19"/>
              </w:rPr>
              <w:t>écolabellisés</w:t>
            </w:r>
            <w:proofErr w:type="spellEnd"/>
            <w:r>
              <w:rPr>
                <w:sz w:val="19"/>
                <w:szCs w:val="19"/>
              </w:rPr>
              <w:t>, rechargeables ou recyclés — appréciée au regard du nombre et de la nature des références concernées</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8 %</w:t>
            </w:r>
          </w:p>
        </w:tc>
      </w:tr>
      <w:tr w:rsidR="009B74B0">
        <w:trPr>
          <w:cantSplit/>
        </w:trPr>
        <w:tc>
          <w:tcPr>
            <w:tcW w:w="757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lastRenderedPageBreak/>
              <w:t>2. Emballages et regroupement des livraisons — appréciés au regard des engagements allant au-delà des obligations des articles 3.3.2 et 3.6 du CCP (emballages recyclés ou réemployés, nombre et mode des livraisons)</w:t>
            </w:r>
          </w:p>
        </w:tc>
        <w:tc>
          <w:tcPr>
            <w:tcW w:w="1500" w:type="dxa"/>
            <w:tcBorders>
              <w:top w:val="single" w:sz="2" w:space="0" w:color="BFBFBF"/>
              <w:left w:val="single" w:sz="2" w:space="0" w:color="BFBFBF"/>
              <w:bottom w:val="single" w:sz="2" w:space="0" w:color="BFBFBF"/>
              <w:right w:val="single" w:sz="2" w:space="0" w:color="BFBFBF"/>
            </w:tcBorders>
            <w:tcMar>
              <w:top w:w="60" w:type="dxa"/>
              <w:left w:w="100" w:type="dxa"/>
              <w:bottom w:w="60" w:type="dxa"/>
              <w:right w:w="100" w:type="dxa"/>
            </w:tcMar>
            <w:vAlign w:val="center"/>
          </w:tcPr>
          <w:p w:rsidR="009B74B0" w:rsidRDefault="00CF67D4">
            <w:pPr>
              <w:spacing w:line="280" w:lineRule="auto"/>
            </w:pPr>
            <w:r>
              <w:rPr>
                <w:sz w:val="19"/>
                <w:szCs w:val="19"/>
              </w:rPr>
              <w:t>7 %</w:t>
            </w:r>
          </w:p>
        </w:tc>
      </w:tr>
    </w:tbl>
    <w:p w:rsidR="009B74B0" w:rsidRDefault="009B74B0">
      <w:pPr>
        <w:spacing w:after="60" w:line="280" w:lineRule="auto"/>
      </w:pPr>
    </w:p>
    <w:p w:rsidR="009B74B0" w:rsidRDefault="00CF67D4">
      <w:pPr>
        <w:spacing w:after="100" w:line="280" w:lineRule="auto"/>
      </w:pPr>
      <w:r>
        <w:t>Les sous-critères de valeur technique et de performance environnementale sont notés de 0 (très insuffisant) à 5 (très bon) au regard du mémoire technique remis par le candidat et, pour le délai de livraison, de l'acte d'engagement, puis pondérés par le pourcentage affecté ci-dessus (note / 5 × pondération). Le critère prix est noté selon la formule indiquée ; le total de chaque offre est exprimé sur 100 points.</w:t>
      </w:r>
    </w:p>
    <w:p w:rsidR="009B74B0" w:rsidRDefault="00CF67D4">
      <w:pPr>
        <w:spacing w:after="100" w:line="280" w:lineRule="auto"/>
      </w:pPr>
      <w:r>
        <w:t>Chaque ligne du BPU comporte une référence et un prix unitaire hors taxes strictement positif, exprimé en euros avec au plus trois décimales. Une offre comportant une ligne non chiffrée, chiffrée à zéro ou par une mention non numérique, ou assortie d'une réserve, est irrégulière (article L.2152-2). L'acheteur peut autoriser tous les soumissionnaires concernés à régulariser leur offre dans un délai approprié (article R.2152-2) ; la régularisation ne peut modifier les caractéristiques substantielles de l'offre et ne peut en aucun cas consister à ajouter ou à modifier un prix. Le DQE est recalculé par l'acheteur à partir des prix du BPU et des quantités qu'il a fixées ; toute modification par le candidat des quantités, des formules ou des désignations est sans effet, et seul le DQE recalculé est pris en compte, y compris en cas de discordance avec le montant porté à l'acte d'engagement. En cas d'erreur purement matérielle, le BPU prévaut ; le candidat est invité à confirmer son offre ainsi rectifiée, à défaut de quoi elle est éliminée comme irrégulière. Les offres irrégulières, inacceptables ou inappropriées sont écartées dans les conditions des articles L.2152-1 et R.2152-1. L'offre qui paraît anormalement basse (article L.2152-5) fait l'objet d'une demande de précisions avant tout rejet.</w:t>
      </w:r>
    </w:p>
    <w:p w:rsidR="009B74B0" w:rsidRDefault="00CF67D4">
      <w:pPr>
        <w:keepNext/>
        <w:spacing w:before="150" w:after="70"/>
      </w:pPr>
      <w:r>
        <w:rPr>
          <w:b/>
          <w:bCs/>
          <w:i/>
          <w:iCs/>
          <w:sz w:val="21"/>
          <w:szCs w:val="21"/>
        </w:rPr>
        <w:t>9.3. Suite à donner à la consultation</w:t>
      </w:r>
    </w:p>
    <w:p w:rsidR="009B74B0" w:rsidRDefault="00CF67D4">
      <w:pPr>
        <w:spacing w:after="100" w:line="280" w:lineRule="auto"/>
      </w:pPr>
      <w:r>
        <w:t>Le candidat retenu à titre provisoire produit, dans un délai de 10 jours à compter de la demande d'Hérault Transport, les certificats et attestations prévus aux articles R.2143-6 à R.2143-10 du code de la commande publique, ainsi que les documents mentionnés aux articles D.8222-5 ou D.8222-7 et D.8222-8 du code du travail. En cas de non-production dans ce délai, le candidat suivant dans le classement est sollicité.</w:t>
      </w:r>
    </w:p>
    <w:p w:rsidR="009B74B0" w:rsidRDefault="00CF67D4">
      <w:pPr>
        <w:pStyle w:val="Titre1"/>
        <w:keepNext/>
        <w:pBdr>
          <w:bottom w:val="single" w:sz="6" w:space="5" w:color="C0392B"/>
        </w:pBdr>
        <w:spacing w:before="260" w:after="110"/>
      </w:pPr>
      <w:r>
        <w:rPr>
          <w:color w:val="C0392B"/>
        </w:rPr>
        <w:t xml:space="preserve">ARTICLE 10 — </w:t>
      </w:r>
      <w:r>
        <w:t>VOIES ET DÉLAIS DE RECOURS</w:t>
      </w:r>
    </w:p>
    <w:p w:rsidR="009B74B0" w:rsidRDefault="00CF67D4">
      <w:pPr>
        <w:spacing w:after="100" w:line="280" w:lineRule="auto"/>
      </w:pPr>
      <w:r>
        <w:t>Instance chargée des procédures de recours : Tribunal administratif de Montpellier, 6 rue Pitot, 34063 Montpellier Cedex 2, téléphone 04 67 54 81 00, courriel greffe.ta-montpellier@juradm.fr.</w:t>
      </w:r>
    </w:p>
    <w:p w:rsidR="009B74B0" w:rsidRDefault="00CF67D4">
      <w:pPr>
        <w:spacing w:after="100" w:line="280" w:lineRule="auto"/>
      </w:pPr>
      <w:r>
        <w:t xml:space="preserve">Voies de recours : référé précontractuel jusqu'à la signature du marché (articles L.551-1 et suivants du code de justice administrative) ; référé contractuel après sa signature, dans les conditions des articles L.551-13 et suivants du même code ; recours en contestation de la validité du contrat dans un délai de deux mois à compter de l'accomplissement des mesures de publicité appropriées (CE, </w:t>
      </w:r>
      <w:proofErr w:type="spellStart"/>
      <w:r>
        <w:t>Ass</w:t>
      </w:r>
      <w:proofErr w:type="spellEnd"/>
      <w:r>
        <w:t>., 4 avril 2014, Département de Tarn-et-Garonne, n° 358994).</w:t>
      </w:r>
    </w:p>
    <w:sectPr w:rsidR="009B74B0">
      <w:headerReference w:type="default" r:id="rId11"/>
      <w:footerReference w:type="default" r:id="rId12"/>
      <w:pgSz w:w="11906" w:h="16838"/>
      <w:pgMar w:top="1418" w:right="1418" w:bottom="1418"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91E" w:rsidRDefault="0053791E">
      <w:r>
        <w:separator/>
      </w:r>
    </w:p>
  </w:endnote>
  <w:endnote w:type="continuationSeparator" w:id="0">
    <w:p w:rsidR="0053791E" w:rsidRDefault="0053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66A" w:rsidRDefault="00CF67D4">
    <w:pPr>
      <w:spacing w:after="20"/>
      <w:jc w:val="center"/>
    </w:pPr>
    <w:r>
      <w:rPr>
        <w:color w:val="595959"/>
        <w:sz w:val="14"/>
        <w:szCs w:val="14"/>
      </w:rPr>
      <w:t xml:space="preserve">148 Av. du Professeur Viala – Parc </w:t>
    </w:r>
    <w:proofErr w:type="spellStart"/>
    <w:r>
      <w:rPr>
        <w:color w:val="595959"/>
        <w:sz w:val="14"/>
        <w:szCs w:val="14"/>
      </w:rPr>
      <w:t>Euromédecine</w:t>
    </w:r>
    <w:proofErr w:type="spellEnd"/>
    <w:r>
      <w:rPr>
        <w:color w:val="595959"/>
        <w:sz w:val="14"/>
        <w:szCs w:val="14"/>
      </w:rPr>
      <w:t xml:space="preserve"> 2 – CS 34303 – 34193 MONTPELLIER cedex 5</w:t>
    </w:r>
  </w:p>
  <w:p w:rsidR="00F8666A" w:rsidRDefault="00CF67D4">
    <w:pPr>
      <w:spacing w:after="20"/>
      <w:jc w:val="center"/>
    </w:pPr>
    <w:r>
      <w:rPr>
        <w:color w:val="595959"/>
        <w:sz w:val="14"/>
        <w:szCs w:val="14"/>
      </w:rPr>
      <w:t>herault-transport.fr – info@herault-transport.fr</w:t>
    </w:r>
  </w:p>
  <w:p w:rsidR="00F8666A" w:rsidRDefault="00CF67D4">
    <w:pPr>
      <w:tabs>
        <w:tab w:val="right" w:pos="9070"/>
      </w:tabs>
      <w:jc w:val="center"/>
    </w:pPr>
    <w:r>
      <w:rPr>
        <w:color w:val="595959"/>
        <w:sz w:val="14"/>
        <w:szCs w:val="14"/>
      </w:rPr>
      <w:t>SMTCH – Syndicat Mixte des Transports en commun de l'Hérault – n° SIREN : 253 403 430</w:t>
    </w:r>
  </w:p>
  <w:p w:rsidR="00F8666A" w:rsidRDefault="00CF67D4">
    <w:pPr>
      <w:jc w:val="right"/>
    </w:pPr>
    <w:r>
      <w:rPr>
        <w:color w:val="595959"/>
        <w:sz w:val="14"/>
        <w:szCs w:val="14"/>
      </w:rPr>
      <w:t xml:space="preserve">Page </w:t>
    </w:r>
    <w:r>
      <w:rPr>
        <w:color w:val="595959"/>
        <w:sz w:val="14"/>
        <w:szCs w:val="14"/>
      </w:rPr>
      <w:fldChar w:fldCharType="begin"/>
    </w:r>
    <w:r>
      <w:rPr>
        <w:color w:val="595959"/>
        <w:sz w:val="14"/>
        <w:szCs w:val="14"/>
      </w:rPr>
      <w:instrText>PAGE</w:instrText>
    </w:r>
    <w:r>
      <w:rPr>
        <w:color w:val="595959"/>
        <w:sz w:val="14"/>
        <w:szCs w:val="14"/>
      </w:rPr>
      <w:fldChar w:fldCharType="separate"/>
    </w:r>
    <w:r w:rsidR="00EE2038">
      <w:rPr>
        <w:noProof/>
        <w:color w:val="595959"/>
        <w:sz w:val="14"/>
        <w:szCs w:val="14"/>
      </w:rPr>
      <w:t>7</w:t>
    </w:r>
    <w:r>
      <w:rPr>
        <w:color w:val="595959"/>
        <w:sz w:val="14"/>
        <w:szCs w:val="14"/>
      </w:rPr>
      <w:fldChar w:fldCharType="end"/>
    </w:r>
    <w:r>
      <w:rPr>
        <w:color w:val="595959"/>
        <w:sz w:val="14"/>
        <w:szCs w:val="14"/>
      </w:rPr>
      <w:t xml:space="preserve"> / </w:t>
    </w:r>
    <w:r>
      <w:rPr>
        <w:color w:val="595959"/>
        <w:sz w:val="14"/>
        <w:szCs w:val="14"/>
      </w:rPr>
      <w:fldChar w:fldCharType="begin"/>
    </w:r>
    <w:r>
      <w:rPr>
        <w:color w:val="595959"/>
        <w:sz w:val="14"/>
        <w:szCs w:val="14"/>
      </w:rPr>
      <w:instrText>NUMPAGES</w:instrText>
    </w:r>
    <w:r>
      <w:rPr>
        <w:color w:val="595959"/>
        <w:sz w:val="14"/>
        <w:szCs w:val="14"/>
      </w:rPr>
      <w:fldChar w:fldCharType="separate"/>
    </w:r>
    <w:r w:rsidR="00EE2038">
      <w:rPr>
        <w:noProof/>
        <w:color w:val="595959"/>
        <w:sz w:val="14"/>
        <w:szCs w:val="14"/>
      </w:rPr>
      <w:t>7</w:t>
    </w:r>
    <w:r>
      <w:rPr>
        <w:color w:val="595959"/>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91E" w:rsidRDefault="0053791E">
      <w:r>
        <w:separator/>
      </w:r>
    </w:p>
  </w:footnote>
  <w:footnote w:type="continuationSeparator" w:id="0">
    <w:p w:rsidR="0053791E" w:rsidRDefault="00537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66A" w:rsidRDefault="00CF67D4">
    <w:pPr>
      <w:pBdr>
        <w:bottom w:val="single" w:sz="6" w:space="5" w:color="C0392B"/>
      </w:pBdr>
      <w:tabs>
        <w:tab w:val="right" w:pos="9070"/>
      </w:tabs>
      <w:spacing w:after="60"/>
    </w:pPr>
    <w:r>
      <w:rPr>
        <w:noProof/>
      </w:rPr>
      <w:drawing>
        <wp:inline distT="0" distB="0" distL="0" distR="0" wp14:anchorId="786A55CD" wp14:editId="226A84C6">
          <wp:extent cx="323850" cy="323850"/>
          <wp:effectExtent l="0" t="0" r="0" b="0"/>
          <wp:docPr id="1390399708" name="logo-ht" descr="Logo Hérault Transport" title="Hérault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23850" cy="323850"/>
                  </a:xfrm>
                  <a:prstGeom prst="rect">
                    <a:avLst/>
                  </a:prstGeom>
                </pic:spPr>
              </pic:pic>
            </a:graphicData>
          </a:graphic>
        </wp:inline>
      </w:drawing>
    </w:r>
    <w:r>
      <w:rPr>
        <w:b/>
        <w:bCs/>
        <w:color w:val="C0392B"/>
        <w:sz w:val="18"/>
        <w:szCs w:val="18"/>
      </w:rPr>
      <w:t xml:space="preserve">  Hérault Transport</w:t>
    </w:r>
    <w:r>
      <w:rPr>
        <w:color w:val="595959"/>
        <w:sz w:val="16"/>
        <w:szCs w:val="16"/>
      </w:rPr>
      <w:tab/>
      <w:t>RC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92909"/>
    <w:multiLevelType w:val="hybridMultilevel"/>
    <w:tmpl w:val="E1E6B51E"/>
    <w:lvl w:ilvl="0" w:tplc="D7346608">
      <w:start w:val="1"/>
      <w:numFmt w:val="bullet"/>
      <w:lvlText w:val="-"/>
      <w:lvlJc w:val="left"/>
      <w:pPr>
        <w:ind w:left="360" w:hanging="260"/>
      </w:pPr>
    </w:lvl>
    <w:lvl w:ilvl="1" w:tplc="A612A3B0">
      <w:numFmt w:val="decimal"/>
      <w:lvlText w:val=""/>
      <w:lvlJc w:val="left"/>
    </w:lvl>
    <w:lvl w:ilvl="2" w:tplc="1AD483C4">
      <w:numFmt w:val="decimal"/>
      <w:lvlText w:val=""/>
      <w:lvlJc w:val="left"/>
    </w:lvl>
    <w:lvl w:ilvl="3" w:tplc="953EFEF6">
      <w:numFmt w:val="decimal"/>
      <w:lvlText w:val=""/>
      <w:lvlJc w:val="left"/>
    </w:lvl>
    <w:lvl w:ilvl="4" w:tplc="DB6C6EF4">
      <w:numFmt w:val="decimal"/>
      <w:lvlText w:val=""/>
      <w:lvlJc w:val="left"/>
    </w:lvl>
    <w:lvl w:ilvl="5" w:tplc="14DEC90A">
      <w:numFmt w:val="decimal"/>
      <w:lvlText w:val=""/>
      <w:lvlJc w:val="left"/>
    </w:lvl>
    <w:lvl w:ilvl="6" w:tplc="39A26B48">
      <w:numFmt w:val="decimal"/>
      <w:lvlText w:val=""/>
      <w:lvlJc w:val="left"/>
    </w:lvl>
    <w:lvl w:ilvl="7" w:tplc="3DB6F2A6">
      <w:numFmt w:val="decimal"/>
      <w:lvlText w:val=""/>
      <w:lvlJc w:val="left"/>
    </w:lvl>
    <w:lvl w:ilvl="8" w:tplc="7A325F24">
      <w:numFmt w:val="decimal"/>
      <w:lvlText w:val=""/>
      <w:lvlJc w:val="left"/>
    </w:lvl>
  </w:abstractNum>
  <w:abstractNum w:abstractNumId="1" w15:restartNumberingAfterBreak="0">
    <w:nsid w:val="54824067"/>
    <w:multiLevelType w:val="hybridMultilevel"/>
    <w:tmpl w:val="C1546830"/>
    <w:lvl w:ilvl="0" w:tplc="7EF2B146">
      <w:start w:val="1"/>
      <w:numFmt w:val="bullet"/>
      <w:lvlText w:val="●"/>
      <w:lvlJc w:val="left"/>
      <w:pPr>
        <w:ind w:left="720" w:hanging="360"/>
      </w:pPr>
    </w:lvl>
    <w:lvl w:ilvl="1" w:tplc="5A90CF86">
      <w:start w:val="1"/>
      <w:numFmt w:val="bullet"/>
      <w:lvlText w:val="○"/>
      <w:lvlJc w:val="left"/>
      <w:pPr>
        <w:ind w:left="1440" w:hanging="360"/>
      </w:pPr>
    </w:lvl>
    <w:lvl w:ilvl="2" w:tplc="DD8845D2">
      <w:start w:val="1"/>
      <w:numFmt w:val="bullet"/>
      <w:lvlText w:val="■"/>
      <w:lvlJc w:val="left"/>
      <w:pPr>
        <w:ind w:left="2160" w:hanging="360"/>
      </w:pPr>
    </w:lvl>
    <w:lvl w:ilvl="3" w:tplc="18641C96">
      <w:start w:val="1"/>
      <w:numFmt w:val="bullet"/>
      <w:lvlText w:val="●"/>
      <w:lvlJc w:val="left"/>
      <w:pPr>
        <w:ind w:left="2880" w:hanging="360"/>
      </w:pPr>
    </w:lvl>
    <w:lvl w:ilvl="4" w:tplc="EB9EA326">
      <w:start w:val="1"/>
      <w:numFmt w:val="bullet"/>
      <w:lvlText w:val="○"/>
      <w:lvlJc w:val="left"/>
      <w:pPr>
        <w:ind w:left="3600" w:hanging="360"/>
      </w:pPr>
    </w:lvl>
    <w:lvl w:ilvl="5" w:tplc="86722920">
      <w:start w:val="1"/>
      <w:numFmt w:val="bullet"/>
      <w:lvlText w:val="■"/>
      <w:lvlJc w:val="left"/>
      <w:pPr>
        <w:ind w:left="4320" w:hanging="360"/>
      </w:pPr>
    </w:lvl>
    <w:lvl w:ilvl="6" w:tplc="1A94045A">
      <w:start w:val="1"/>
      <w:numFmt w:val="bullet"/>
      <w:lvlText w:val="●"/>
      <w:lvlJc w:val="left"/>
      <w:pPr>
        <w:ind w:left="5040" w:hanging="360"/>
      </w:pPr>
    </w:lvl>
    <w:lvl w:ilvl="7" w:tplc="579A2F4A">
      <w:start w:val="1"/>
      <w:numFmt w:val="bullet"/>
      <w:lvlText w:val="●"/>
      <w:lvlJc w:val="left"/>
      <w:pPr>
        <w:ind w:left="5760" w:hanging="360"/>
      </w:pPr>
    </w:lvl>
    <w:lvl w:ilvl="8" w:tplc="A50651A4">
      <w:start w:val="1"/>
      <w:numFmt w:val="bullet"/>
      <w:lvlText w:val="●"/>
      <w:lvlJc w:val="left"/>
      <w:pPr>
        <w:ind w:left="6480" w:hanging="360"/>
      </w:pPr>
    </w:lvl>
  </w:abstractNum>
  <w:abstractNum w:abstractNumId="2" w15:restartNumberingAfterBreak="0">
    <w:nsid w:val="7C0C2249"/>
    <w:multiLevelType w:val="multilevel"/>
    <w:tmpl w:val="FA1A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num>
  <w:num w:numId="2">
    <w:abstractNumId w:val="0"/>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66A"/>
    <w:rsid w:val="000B3045"/>
    <w:rsid w:val="00251E2F"/>
    <w:rsid w:val="00257375"/>
    <w:rsid w:val="00262E82"/>
    <w:rsid w:val="00494B86"/>
    <w:rsid w:val="004A3723"/>
    <w:rsid w:val="0053791E"/>
    <w:rsid w:val="006612BD"/>
    <w:rsid w:val="006F50D9"/>
    <w:rsid w:val="00707AD0"/>
    <w:rsid w:val="00982207"/>
    <w:rsid w:val="009B74B0"/>
    <w:rsid w:val="009B7DBA"/>
    <w:rsid w:val="00B07B03"/>
    <w:rsid w:val="00B6497D"/>
    <w:rsid w:val="00BE1200"/>
    <w:rsid w:val="00C9676B"/>
    <w:rsid w:val="00CF67D4"/>
    <w:rsid w:val="00DE2FBF"/>
    <w:rsid w:val="00DF626A"/>
    <w:rsid w:val="00EE2038"/>
    <w:rsid w:val="00F84BD6"/>
    <w:rsid w:val="00F8666A"/>
    <w:rsid w:val="00FF24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6960E"/>
  <w15:docId w15:val="{FA9AB412-20F5-B34C-B87E-9555A9EC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2"/>
        <w:szCs w:val="22"/>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uiPriority w:val="9"/>
    <w:qFormat/>
    <w:pPr>
      <w:outlineLvl w:val="0"/>
    </w:pPr>
    <w:rPr>
      <w:b/>
      <w:bCs/>
      <w:sz w:val="24"/>
      <w:szCs w:val="24"/>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character" w:styleId="lev">
    <w:name w:val="Strong"/>
    <w:basedOn w:val="Policepardfaut"/>
    <w:uiPriority w:val="22"/>
    <w:qFormat/>
    <w:rsid w:val="00251E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00072EB702543B85ED2C4B2F8CF92" ma:contentTypeVersion="3" ma:contentTypeDescription="Crée un document." ma:contentTypeScope="" ma:versionID="9e421a321e5d2ac7879bcb34708d89e6">
  <xsd:schema xmlns:xsd="http://www.w3.org/2001/XMLSchema" xmlns:xs="http://www.w3.org/2001/XMLSchema" xmlns:p="http://schemas.microsoft.com/office/2006/metadata/properties" xmlns:ns2="35401ca4-d6a6-4307-9246-3d87cb6e68ba" targetNamespace="http://schemas.microsoft.com/office/2006/metadata/properties" ma:root="true" ma:fieldsID="40fec43a1b41ea1c672f3d6fac4a613c" ns2:_="">
    <xsd:import namespace="35401ca4-d6a6-4307-9246-3d87cb6e68b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01ca4-d6a6-4307-9246-3d87cb6e68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2E8F0-365B-48FF-9C2E-AB897F46F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401ca4-d6a6-4307-9246-3d87cb6e68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1322F-28AE-4495-906E-A0AFD58116FD}">
  <ds:schemaRefs>
    <ds:schemaRef ds:uri="http://schemas.microsoft.com/sharepoint/v3/contenttype/forms"/>
  </ds:schemaRefs>
</ds:datastoreItem>
</file>

<file path=customXml/itemProps3.xml><?xml version="1.0" encoding="utf-8"?>
<ds:datastoreItem xmlns:ds="http://schemas.openxmlformats.org/officeDocument/2006/customXml" ds:itemID="{079E65F2-F0BF-4B97-BA61-E94AB17BBAD7}">
  <ds:schemaRef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dcmitype/"/>
    <ds:schemaRef ds:uri="35401ca4-d6a6-4307-9246-3d87cb6e68ba"/>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3132</Words>
  <Characters>17232</Characters>
  <Application>Microsoft Office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Règlement de la Consultation — FOURNITURES ET ACCESSOIRES DE BUREAU ET CONSOMMABLES INFORMATIQUES</vt:lpstr>
    </vt:vector>
  </TitlesOfParts>
  <Manager/>
  <Company/>
  <LinksUpToDate>false</LinksUpToDate>
  <CharactersWithSpaces>20324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la Consultation — FOURNITURES ET ACCESSOIRES DE BUREAU ET CONSOMMABLES INFORMATIQUES</dc:title>
  <dc:subject/>
  <dc:creator>ACDT</dc:creator>
  <cp:keywords/>
  <dc:description/>
  <cp:lastModifiedBy>Agnès  VACQUIER</cp:lastModifiedBy>
  <cp:revision>5</cp:revision>
  <dcterms:created xsi:type="dcterms:W3CDTF">2026-10-21T09:58:00Z</dcterms:created>
  <dcterms:modified xsi:type="dcterms:W3CDTF">2026-10-21T10:16:00Z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0x0101004F700072EB702543B85ED2C4B2F8CF92</vt:lpwstr>
  </property>
</Properties>
</file>