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1B664" w14:textId="77777777" w:rsidR="00C0365E" w:rsidRPr="00BF6AC9" w:rsidRDefault="00DE6E08" w:rsidP="00BF6AC9">
      <w:pPr>
        <w:jc w:val="center"/>
        <w:rPr>
          <w:b/>
          <w:bCs/>
        </w:rPr>
      </w:pPr>
      <w:r>
        <w:rPr>
          <w:b/>
          <w:bCs/>
          <w:i/>
          <w:noProof/>
          <w:color w:val="7F7F7F" w:themeColor="text1" w:themeTint="80"/>
          <w:sz w:val="20"/>
          <w:szCs w:val="20"/>
        </w:rPr>
        <w:drawing>
          <wp:inline distT="0" distB="0" distL="0" distR="0" wp14:anchorId="29265C01" wp14:editId="5E1F50ED">
            <wp:extent cx="1677146" cy="716280"/>
            <wp:effectExtent l="0" t="0" r="0" b="7620"/>
            <wp:docPr id="208957245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72451" name="Image 2089572451"/>
                    <pic:cNvPicPr/>
                  </pic:nvPicPr>
                  <pic:blipFill>
                    <a:blip r:embed="rId8"/>
                    <a:stretch>
                      <a:fillRect/>
                    </a:stretch>
                  </pic:blipFill>
                  <pic:spPr>
                    <a:xfrm>
                      <a:off x="0" y="0"/>
                      <a:ext cx="1707749" cy="729350"/>
                    </a:xfrm>
                    <a:prstGeom prst="rect">
                      <a:avLst/>
                    </a:prstGeom>
                  </pic:spPr>
                </pic:pic>
              </a:graphicData>
            </a:graphic>
          </wp:inline>
        </w:drawing>
      </w:r>
    </w:p>
    <w:p w14:paraId="798ECEED" w14:textId="77777777" w:rsidR="00EC46F9" w:rsidRDefault="00EC46F9" w:rsidP="00942394">
      <w:pPr>
        <w:pStyle w:val="Paragraphedeliste"/>
        <w:jc w:val="center"/>
        <w:rPr>
          <w:b/>
          <w:bCs/>
        </w:rPr>
      </w:pPr>
    </w:p>
    <w:p w14:paraId="76A54791" w14:textId="77777777" w:rsidR="00EC46F9" w:rsidRDefault="00EC46F9" w:rsidP="00BC5AB5"/>
    <w:p w14:paraId="3DB76E0D" w14:textId="77777777" w:rsidR="002C1213" w:rsidRDefault="002C1213" w:rsidP="00BC5AB5">
      <w:pPr>
        <w:pStyle w:val="OBJET"/>
      </w:pPr>
    </w:p>
    <w:p w14:paraId="4105C39C" w14:textId="77777777" w:rsidR="00EC46F9" w:rsidRDefault="00EC46F9" w:rsidP="00BC5AB5">
      <w:pPr>
        <w:pStyle w:val="OBJET"/>
      </w:pPr>
    </w:p>
    <w:p w14:paraId="152E1E2D" w14:textId="3D844190" w:rsidR="00EC46F9" w:rsidRPr="0040394F" w:rsidRDefault="00EC46F9" w:rsidP="00BC5AB5">
      <w:pPr>
        <w:pStyle w:val="OBJET"/>
      </w:pPr>
      <w:r>
        <w:t>Conception coordination et production de l’événement</w:t>
      </w:r>
      <w:r>
        <w:br/>
      </w:r>
      <w:r w:rsidR="00001D94">
        <w:t>« </w:t>
      </w:r>
      <w:r>
        <w:t>Activez le mode péi</w:t>
      </w:r>
      <w:r w:rsidR="00001D94">
        <w:t> »- Appellation de travail</w:t>
      </w:r>
      <w:r>
        <w:br/>
        <w:t>Ouverture au public du 19 au 21 mars 2027</w:t>
      </w:r>
      <w:r w:rsidR="006E60A3">
        <w:t xml:space="preserve"> (date</w:t>
      </w:r>
      <w:r w:rsidR="00001D94">
        <w:t>s</w:t>
      </w:r>
      <w:r w:rsidR="006E60A3">
        <w:t xml:space="preserve"> prévisionnelle</w:t>
      </w:r>
      <w:r w:rsidR="00001D94">
        <w:t>s</w:t>
      </w:r>
      <w:r w:rsidR="006E60A3">
        <w:t>)</w:t>
      </w:r>
    </w:p>
    <w:p w14:paraId="25486A68" w14:textId="77777777" w:rsidR="002C1213" w:rsidRDefault="002C1213" w:rsidP="00BC5AB5">
      <w:pPr>
        <w:pStyle w:val="OBJET"/>
      </w:pPr>
    </w:p>
    <w:p w14:paraId="6626EB40" w14:textId="77777777" w:rsidR="002C1213" w:rsidRPr="002C1213" w:rsidRDefault="002C1213" w:rsidP="00BC5AB5">
      <w:pPr>
        <w:pStyle w:val="OBJET"/>
      </w:pPr>
    </w:p>
    <w:p w14:paraId="7E1BDD6C" w14:textId="77777777" w:rsidR="00EC46F9" w:rsidRDefault="00EC46F9" w:rsidP="002C1213">
      <w:pPr>
        <w:pStyle w:val="Paragraphedeliste"/>
        <w:jc w:val="center"/>
        <w:rPr>
          <w:b/>
          <w:bCs/>
        </w:rPr>
      </w:pPr>
    </w:p>
    <w:p w14:paraId="0E0A7D03" w14:textId="77777777" w:rsidR="00EC46F9" w:rsidRDefault="00EC46F9" w:rsidP="00942394">
      <w:pPr>
        <w:pStyle w:val="Paragraphedeliste"/>
        <w:jc w:val="center"/>
        <w:rPr>
          <w:b/>
          <w:bCs/>
        </w:rPr>
      </w:pPr>
    </w:p>
    <w:p w14:paraId="436A8A78" w14:textId="77777777" w:rsidR="00C0365E" w:rsidRDefault="00C0365E" w:rsidP="00942394">
      <w:pPr>
        <w:pStyle w:val="Paragraphedeliste"/>
        <w:jc w:val="center"/>
        <w:rPr>
          <w:b/>
          <w:bCs/>
        </w:rPr>
      </w:pPr>
    </w:p>
    <w:p w14:paraId="694F0824" w14:textId="77777777" w:rsidR="00EC46F9" w:rsidRPr="00BC5AB5" w:rsidRDefault="00EC46F9" w:rsidP="00BC5AB5">
      <w:pPr>
        <w:rPr>
          <w:b/>
          <w:bCs/>
        </w:rPr>
      </w:pPr>
    </w:p>
    <w:p w14:paraId="17F83229" w14:textId="77777777" w:rsidR="00EC46F9" w:rsidRDefault="00EC46F9" w:rsidP="00BC5AB5"/>
    <w:p w14:paraId="27A903A5" w14:textId="77777777" w:rsidR="00EC46F9" w:rsidRPr="00666709" w:rsidRDefault="007706B7" w:rsidP="00511407">
      <w:pPr>
        <w:pStyle w:val="NOM"/>
      </w:pPr>
      <w:r>
        <w:t>Règlement de la consultation</w:t>
      </w:r>
    </w:p>
    <w:p w14:paraId="19FDA5FD" w14:textId="77777777" w:rsidR="00EC46F9" w:rsidRDefault="006E60A3" w:rsidP="00BC5AB5">
      <w:r w:rsidRPr="006370C5">
        <w:rPr>
          <w:noProof/>
        </w:rPr>
        <w:drawing>
          <wp:anchor distT="0" distB="0" distL="114300" distR="114300" simplePos="0" relativeHeight="251658240" behindDoc="0" locked="0" layoutInCell="1" allowOverlap="1" wp14:anchorId="212C7C1B" wp14:editId="5C846BA2">
            <wp:simplePos x="0" y="0"/>
            <wp:positionH relativeFrom="margin">
              <wp:posOffset>443865</wp:posOffset>
            </wp:positionH>
            <wp:positionV relativeFrom="paragraph">
              <wp:posOffset>114300</wp:posOffset>
            </wp:positionV>
            <wp:extent cx="4629150" cy="1280160"/>
            <wp:effectExtent l="0" t="0" r="0" b="0"/>
            <wp:wrapNone/>
            <wp:docPr id="13942817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81748" name=""/>
                    <pic:cNvPicPr/>
                  </pic:nvPicPr>
                  <pic:blipFill>
                    <a:blip r:embed="rId9"/>
                    <a:stretch>
                      <a:fillRect/>
                    </a:stretch>
                  </pic:blipFill>
                  <pic:spPr>
                    <a:xfrm>
                      <a:off x="0" y="0"/>
                      <a:ext cx="4629150" cy="1280160"/>
                    </a:xfrm>
                    <a:prstGeom prst="rect">
                      <a:avLst/>
                    </a:prstGeom>
                  </pic:spPr>
                </pic:pic>
              </a:graphicData>
            </a:graphic>
            <wp14:sizeRelH relativeFrom="page">
              <wp14:pctWidth>0</wp14:pctWidth>
            </wp14:sizeRelH>
            <wp14:sizeRelV relativeFrom="page">
              <wp14:pctHeight>0</wp14:pctHeight>
            </wp14:sizeRelV>
          </wp:anchor>
        </w:drawing>
      </w:r>
    </w:p>
    <w:p w14:paraId="32D5949B" w14:textId="77777777" w:rsidR="00EC46F9" w:rsidRPr="00BF6AC9" w:rsidRDefault="00EC46F9" w:rsidP="00BF6AC9">
      <w:pPr>
        <w:spacing w:before="240" w:after="160"/>
        <w:jc w:val="center"/>
        <w:rPr>
          <w:b/>
          <w:bCs/>
        </w:rPr>
      </w:pPr>
      <w:r>
        <w:t xml:space="preserve">     </w:t>
      </w:r>
    </w:p>
    <w:p w14:paraId="46B2D2E7" w14:textId="77777777" w:rsidR="00EC46F9" w:rsidRPr="00511407" w:rsidRDefault="00EC46F9" w:rsidP="00511407">
      <w:pPr>
        <w:rPr>
          <w:b/>
          <w:bCs/>
        </w:rPr>
      </w:pPr>
    </w:p>
    <w:p w14:paraId="5551C487" w14:textId="77777777" w:rsidR="00EC46F9" w:rsidRPr="00666709" w:rsidRDefault="00EC46F9" w:rsidP="00511407">
      <w:pPr>
        <w:pStyle w:val="Texte"/>
      </w:pPr>
    </w:p>
    <w:p w14:paraId="3CED5C5D" w14:textId="77777777" w:rsidR="00EC46F9" w:rsidRPr="00666709" w:rsidRDefault="00EC46F9" w:rsidP="00511407">
      <w:pPr>
        <w:pStyle w:val="Texte"/>
      </w:pPr>
    </w:p>
    <w:p w14:paraId="78FD3625" w14:textId="77777777" w:rsidR="00666709" w:rsidRPr="00BF6AC9" w:rsidRDefault="00666709" w:rsidP="00511407">
      <w:pPr>
        <w:pStyle w:val="Texte"/>
      </w:pPr>
    </w:p>
    <w:p w14:paraId="25132BE5" w14:textId="77777777" w:rsidR="006E60A3" w:rsidRDefault="006E60A3" w:rsidP="006E60A3">
      <w:pPr>
        <w:jc w:val="both"/>
        <w:rPr>
          <w:rFonts w:ascii="Arial" w:hAnsi="Arial" w:cs="Arial"/>
          <w:sz w:val="22"/>
          <w:lang w:val="fr-RE"/>
        </w:rPr>
      </w:pPr>
    </w:p>
    <w:p w14:paraId="6B87ACCE" w14:textId="77777777" w:rsidR="006E60A3" w:rsidRPr="00A8454F" w:rsidRDefault="006E60A3" w:rsidP="006E60A3">
      <w:pPr>
        <w:jc w:val="both"/>
        <w:rPr>
          <w:b/>
          <w:bCs/>
          <w:color w:val="FF0000"/>
        </w:rPr>
      </w:pPr>
      <w:r>
        <w:t>Un cofinancement de l’Union européenne au titre du Fonds européen de développement régional (FEDER) est sollicité et n’est pas confirmé à la date de lancement de la consultation. Les obligations de publicité, de traçabilité et de conservation des pièces justificatives applicables à ce financement seront communiquées au titulaire par le CRT dès leur confirmation.</w:t>
      </w:r>
    </w:p>
    <w:p w14:paraId="4EFD5904" w14:textId="77777777" w:rsidR="00B41B74" w:rsidRDefault="00B41B74" w:rsidP="00666709">
      <w:pPr>
        <w:pStyle w:val="Paragraphedeliste"/>
        <w:jc w:val="center"/>
        <w:rPr>
          <w:b/>
          <w:bCs/>
          <w:i/>
          <w:color w:val="7F7F7F" w:themeColor="text1" w:themeTint="80"/>
          <w:sz w:val="20"/>
          <w:szCs w:val="20"/>
        </w:rPr>
      </w:pPr>
    </w:p>
    <w:p w14:paraId="684CC3CB" w14:textId="77777777" w:rsidR="00B41B74" w:rsidRDefault="00B41B74" w:rsidP="00666709">
      <w:pPr>
        <w:pStyle w:val="Paragraphedeliste"/>
        <w:jc w:val="center"/>
        <w:rPr>
          <w:b/>
          <w:bCs/>
          <w:i/>
          <w:color w:val="7F7F7F" w:themeColor="text1" w:themeTint="80"/>
          <w:sz w:val="20"/>
          <w:szCs w:val="20"/>
        </w:rPr>
      </w:pPr>
    </w:p>
    <w:p w14:paraId="64003EAD" w14:textId="77777777" w:rsidR="00B41B74" w:rsidRDefault="00B41B74" w:rsidP="00666709">
      <w:pPr>
        <w:pStyle w:val="Paragraphedeliste"/>
        <w:jc w:val="center"/>
        <w:rPr>
          <w:b/>
          <w:bCs/>
          <w:i/>
          <w:color w:val="7F7F7F" w:themeColor="text1" w:themeTint="80"/>
          <w:sz w:val="20"/>
          <w:szCs w:val="20"/>
        </w:rPr>
      </w:pPr>
    </w:p>
    <w:p w14:paraId="78715D51" w14:textId="77777777" w:rsidR="00B41B74" w:rsidRDefault="00B41B74" w:rsidP="00666709">
      <w:pPr>
        <w:pStyle w:val="Paragraphedeliste"/>
        <w:jc w:val="center"/>
        <w:rPr>
          <w:b/>
          <w:bCs/>
          <w:i/>
          <w:color w:val="7F7F7F" w:themeColor="text1" w:themeTint="80"/>
          <w:sz w:val="20"/>
          <w:szCs w:val="20"/>
        </w:rPr>
      </w:pPr>
    </w:p>
    <w:p w14:paraId="3015F0E6" w14:textId="77777777" w:rsidR="00B41B74" w:rsidRDefault="00B41B74" w:rsidP="00666709">
      <w:pPr>
        <w:pStyle w:val="Paragraphedeliste"/>
        <w:jc w:val="center"/>
        <w:rPr>
          <w:b/>
          <w:bCs/>
          <w:i/>
          <w:color w:val="7F7F7F" w:themeColor="text1" w:themeTint="80"/>
          <w:sz w:val="20"/>
          <w:szCs w:val="20"/>
        </w:rPr>
      </w:pPr>
    </w:p>
    <w:p w14:paraId="54C786CA" w14:textId="77777777" w:rsidR="00EC46F9" w:rsidRPr="00C0365E" w:rsidRDefault="00EC46F9" w:rsidP="00511407">
      <w:pPr>
        <w:pStyle w:val="Textebas"/>
      </w:pPr>
    </w:p>
    <w:p w14:paraId="058AC80E" w14:textId="77777777" w:rsidR="00EE7B5D" w:rsidRDefault="00285129">
      <w:pPr>
        <w:pStyle w:val="Titre1"/>
      </w:pPr>
      <w:r>
        <w:t>Informations de la consultation</w:t>
      </w:r>
    </w:p>
    <w:p w14:paraId="38297E4E" w14:textId="77777777" w:rsidR="00EE7B5D" w:rsidRDefault="00285129">
      <w:pPr>
        <w:spacing w:after="80"/>
      </w:pPr>
      <w:r>
        <w:t>La consultation porte sur une seule édition de l’événement Activez le mode péi. Elle associe un socle forfaitaire obligatoire et des prestations variables à bons de commande, confiés au même titulaire. Les candidats répondent sur les trois feuillets DPGF, BPU et DQE et présentent un mémoire technique structuré selon le présent règlement.</w:t>
      </w:r>
    </w:p>
    <w:tbl>
      <w:tblPr>
        <w:tblW w:w="0" w:type="auto"/>
        <w:tblLayout w:type="fixed"/>
        <w:tblLook w:val="04A0" w:firstRow="1" w:lastRow="0" w:firstColumn="1" w:lastColumn="0" w:noHBand="0" w:noVBand="1"/>
      </w:tblPr>
      <w:tblGrid>
        <w:gridCol w:w="4320"/>
        <w:gridCol w:w="4320"/>
      </w:tblGrid>
      <w:tr w:rsidR="00EE7B5D" w14:paraId="517DBCC6" w14:textId="77777777">
        <w:trPr>
          <w:tblHeader/>
        </w:trPr>
        <w:tc>
          <w:tcPr>
            <w:tcW w:w="4320" w:type="dxa"/>
            <w:tcBorders>
              <w:top w:val="single" w:sz="4" w:space="0" w:color="D9D9D9"/>
              <w:left w:val="single" w:sz="4" w:space="0" w:color="D9D9D9"/>
              <w:bottom w:val="single" w:sz="4" w:space="0" w:color="D9D9D9"/>
              <w:right w:val="single" w:sz="4" w:space="0" w:color="D9D9D9"/>
            </w:tcBorders>
            <w:shd w:val="clear" w:color="auto" w:fill="D9E2F3"/>
          </w:tcPr>
          <w:p w14:paraId="2ADF392C" w14:textId="77777777" w:rsidR="00EE7B5D" w:rsidRDefault="00285129">
            <w:pPr>
              <w:spacing w:before="100" w:after="100"/>
            </w:pPr>
            <w:r>
              <w:rPr>
                <w:b/>
                <w:sz w:val="18"/>
              </w:rPr>
              <w:t>Rubrique</w:t>
            </w:r>
          </w:p>
        </w:tc>
        <w:tc>
          <w:tcPr>
            <w:tcW w:w="4320" w:type="dxa"/>
            <w:tcBorders>
              <w:top w:val="single" w:sz="4" w:space="0" w:color="D9D9D9"/>
              <w:left w:val="single" w:sz="4" w:space="0" w:color="D9D9D9"/>
              <w:bottom w:val="single" w:sz="4" w:space="0" w:color="D9D9D9"/>
              <w:right w:val="single" w:sz="4" w:space="0" w:color="D9D9D9"/>
            </w:tcBorders>
            <w:shd w:val="clear" w:color="auto" w:fill="D9E2F3"/>
          </w:tcPr>
          <w:p w14:paraId="50A127B9" w14:textId="77777777" w:rsidR="00EE7B5D" w:rsidRDefault="00285129">
            <w:pPr>
              <w:spacing w:before="100" w:after="100"/>
            </w:pPr>
            <w:r>
              <w:rPr>
                <w:b/>
                <w:sz w:val="18"/>
              </w:rPr>
              <w:t>Information</w:t>
            </w:r>
          </w:p>
        </w:tc>
      </w:tr>
      <w:tr w:rsidR="00EE7B5D" w14:paraId="25EDFE64" w14:textId="77777777">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5FBFC63A" w14:textId="77777777" w:rsidR="00EE7B5D" w:rsidRDefault="00285129">
            <w:pPr>
              <w:spacing w:before="100" w:after="100"/>
            </w:pPr>
            <w:r>
              <w:rPr>
                <w:sz w:val="18"/>
              </w:rPr>
              <w:t>Acheteur</w:t>
            </w:r>
          </w:p>
        </w:tc>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5B249827" w14:textId="77777777" w:rsidR="00D45A85" w:rsidRDefault="00285129">
            <w:r w:rsidRPr="00EA2405">
              <w:rPr>
                <w:color w:val="00B0F0"/>
              </w:rPr>
              <w:t xml:space="preserve">Comité Réunionnais du Tourisme (CRT) </w:t>
            </w:r>
            <w:r>
              <w:t>— SIRET 992 469 536 000 13</w:t>
            </w:r>
          </w:p>
        </w:tc>
      </w:tr>
      <w:tr w:rsidR="00EE7B5D" w14:paraId="6B5F94CA" w14:textId="77777777">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3644FD39" w14:textId="77777777" w:rsidR="00EE7B5D" w:rsidRDefault="00285129">
            <w:pPr>
              <w:spacing w:before="100" w:after="100"/>
            </w:pPr>
            <w:r>
              <w:rPr>
                <w:sz w:val="18"/>
              </w:rPr>
              <w:t>Adresse</w:t>
            </w:r>
          </w:p>
        </w:tc>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0FB344B5" w14:textId="77777777" w:rsidR="00EE7B5D" w:rsidRDefault="00285129">
            <w:pPr>
              <w:spacing w:before="100" w:after="100"/>
            </w:pPr>
            <w:r>
              <w:rPr>
                <w:sz w:val="18"/>
              </w:rPr>
              <w:t>Immeuble La Balance — Bâtiment B, 4 rue Jules Thirel — CS 61087 — 97864 Saint-Paul Cedex</w:t>
            </w:r>
          </w:p>
        </w:tc>
      </w:tr>
      <w:tr w:rsidR="00EE7B5D" w14:paraId="1F498C54" w14:textId="77777777">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4CDBFCB2" w14:textId="77777777" w:rsidR="00EE7B5D" w:rsidRDefault="00285129">
            <w:pPr>
              <w:spacing w:before="100" w:after="100"/>
            </w:pPr>
            <w:r>
              <w:rPr>
                <w:sz w:val="18"/>
              </w:rPr>
              <w:t>Profil acheteur</w:t>
            </w:r>
          </w:p>
        </w:tc>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2E7A277C" w14:textId="77777777" w:rsidR="00EE7B5D" w:rsidRDefault="00383DC1">
            <w:pPr>
              <w:spacing w:before="100" w:after="100"/>
            </w:pPr>
            <w:r>
              <w:rPr>
                <w:sz w:val="18"/>
              </w:rPr>
              <w:t>AWS — consultation publiée depuis le compte IRT sur https://www.marches-publics.info. Le CRT demeure l’acheteur et l’interlocuteur contractuel.</w:t>
            </w:r>
          </w:p>
        </w:tc>
      </w:tr>
      <w:tr w:rsidR="00EE7B5D" w14:paraId="17FAE056" w14:textId="77777777" w:rsidTr="00761A85">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6399228B" w14:textId="77777777" w:rsidR="00EE7B5D" w:rsidRDefault="00285129">
            <w:pPr>
              <w:spacing w:before="100" w:after="100"/>
            </w:pPr>
            <w:r>
              <w:rPr>
                <w:sz w:val="18"/>
              </w:rPr>
              <w:t>Référence de la consultation</w:t>
            </w:r>
          </w:p>
        </w:tc>
        <w:tc>
          <w:tcPr>
            <w:tcW w:w="4320" w:type="dxa"/>
            <w:tcBorders>
              <w:top w:val="single" w:sz="4" w:space="0" w:color="D9D9D9"/>
              <w:left w:val="single" w:sz="4" w:space="0" w:color="D9D9D9"/>
              <w:bottom w:val="single" w:sz="4" w:space="0" w:color="D9D9D9"/>
              <w:right w:val="single" w:sz="4" w:space="0" w:color="D9D9D9"/>
            </w:tcBorders>
          </w:tcPr>
          <w:p w14:paraId="04CF18E6" w14:textId="77777777" w:rsidR="00EE7B5D" w:rsidRPr="009473B9" w:rsidRDefault="00761A85">
            <w:pPr>
              <w:spacing w:before="100" w:after="100"/>
              <w:rPr>
                <w:highlight w:val="yellow"/>
              </w:rPr>
            </w:pPr>
            <w:r>
              <w:rPr>
                <w:rFonts w:ascii="Aptos" w:hAnsi="Aptos"/>
                <w:color w:val="000000"/>
                <w:shd w:val="clear" w:color="auto" w:fill="FFFFFF"/>
              </w:rPr>
              <w:t>MARC26DMC706</w:t>
            </w:r>
          </w:p>
        </w:tc>
      </w:tr>
      <w:tr w:rsidR="00EE7B5D" w14:paraId="584EA375" w14:textId="77777777">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0E7D003D" w14:textId="77777777" w:rsidR="00EE7B5D" w:rsidRDefault="00285129">
            <w:pPr>
              <w:spacing w:before="100" w:after="100"/>
            </w:pPr>
            <w:r>
              <w:rPr>
                <w:sz w:val="18"/>
              </w:rPr>
              <w:t>Date limite de remise des offres</w:t>
            </w:r>
          </w:p>
        </w:tc>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6C7ED217" w14:textId="77777777" w:rsidR="00EE7B5D" w:rsidRPr="009473B9" w:rsidRDefault="00761A85">
            <w:pPr>
              <w:spacing w:before="100" w:after="100"/>
              <w:rPr>
                <w:highlight w:val="yellow"/>
              </w:rPr>
            </w:pPr>
            <w:r>
              <w:rPr>
                <w:sz w:val="18"/>
              </w:rPr>
              <w:t>12 novembre 2026 – 12h</w:t>
            </w:r>
            <w:r w:rsidRPr="009473B9">
              <w:rPr>
                <w:sz w:val="18"/>
              </w:rPr>
              <w:t xml:space="preserve"> — heure de La Réunion (UTC+4)</w:t>
            </w:r>
          </w:p>
        </w:tc>
      </w:tr>
      <w:tr w:rsidR="00EE7B5D" w14:paraId="6006AE77" w14:textId="77777777">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5BE196F2" w14:textId="77777777" w:rsidR="00EE7B5D" w:rsidRDefault="00285129">
            <w:pPr>
              <w:spacing w:before="100" w:after="100"/>
            </w:pPr>
            <w:r>
              <w:rPr>
                <w:sz w:val="18"/>
              </w:rPr>
              <w:t>Événement</w:t>
            </w:r>
          </w:p>
        </w:tc>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78689AC7" w14:textId="04330DB9" w:rsidR="00D45A85" w:rsidRDefault="00285129">
            <w:r>
              <w:t>Public : 19 au 21 mars 2027</w:t>
            </w:r>
            <w:r w:rsidR="004C465B">
              <w:t xml:space="preserve"> (dates prévisionnelles)</w:t>
            </w:r>
            <w:r>
              <w:t>. Horaires prévisionnels : vendredi et dimanche 10 h–18 h ; samedi 10 h–20 h. Inauguration : 18 fin d’après-midi ou 19 matin, à confirmer. Hors montage et démontage.</w:t>
            </w:r>
          </w:p>
        </w:tc>
      </w:tr>
      <w:tr w:rsidR="00EE7B5D" w14:paraId="0D21985D" w14:textId="77777777">
        <w:tc>
          <w:tcPr>
            <w:tcW w:w="4320" w:type="dxa"/>
            <w:tcBorders>
              <w:top w:val="single" w:sz="4" w:space="0" w:color="D9D9D9"/>
              <w:left w:val="single" w:sz="4" w:space="0" w:color="D9D9D9"/>
              <w:bottom w:val="single" w:sz="4" w:space="0" w:color="D9D9D9"/>
              <w:right w:val="single" w:sz="4" w:space="0" w:color="D9D9D9"/>
            </w:tcBorders>
            <w:shd w:val="clear" w:color="auto" w:fill="FFFFFF"/>
          </w:tcPr>
          <w:p w14:paraId="7B5FF3E7" w14:textId="77777777" w:rsidR="00EE7B5D" w:rsidRDefault="00285129">
            <w:pPr>
              <w:spacing w:before="100" w:after="100"/>
            </w:pPr>
            <w:r>
              <w:rPr>
                <w:sz w:val="18"/>
              </w:rPr>
              <w:t>Visite obligatoire</w:t>
            </w:r>
          </w:p>
        </w:tc>
        <w:tc>
          <w:tcPr>
            <w:tcW w:w="4320" w:type="dxa"/>
            <w:tcBorders>
              <w:top w:val="single" w:sz="4" w:space="0" w:color="D9D9D9"/>
              <w:left w:val="single" w:sz="4" w:space="0" w:color="D9D9D9"/>
              <w:bottom w:val="single" w:sz="4" w:space="0" w:color="D9D9D9"/>
              <w:right w:val="single" w:sz="4" w:space="0" w:color="D9D9D9"/>
            </w:tcBorders>
            <w:shd w:val="clear" w:color="auto" w:fill="FFFFFF"/>
          </w:tcPr>
          <w:p>
            <w:r>
              <w:t>Visite d’un seul des deux sites envisagés, désigné par le CRT ; modalités publiées sur AWS.</w:t>
            </w:r>
          </w:p>
        </w:tc>
      </w:tr>
      <w:tr w:rsidR="00EE7B5D" w14:paraId="44AFFE25" w14:textId="77777777">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5CDECD19" w14:textId="77777777" w:rsidR="00EE7B5D" w:rsidRDefault="00285129">
            <w:pPr>
              <w:spacing w:before="100" w:after="100"/>
            </w:pPr>
            <w:r>
              <w:rPr>
                <w:sz w:val="18"/>
              </w:rPr>
              <w:t>Validité des offres</w:t>
            </w:r>
          </w:p>
        </w:tc>
        <w:tc>
          <w:tcPr>
            <w:tcW w:w="4320" w:type="dxa"/>
            <w:tcBorders>
              <w:top w:val="single" w:sz="4" w:space="0" w:color="D9D9D9"/>
              <w:left w:val="single" w:sz="4" w:space="0" w:color="D9D9D9"/>
              <w:bottom w:val="single" w:sz="4" w:space="0" w:color="D9D9D9"/>
              <w:right w:val="single" w:sz="4" w:space="0" w:color="D9D9D9"/>
            </w:tcBorders>
            <w:shd w:val="clear" w:color="auto" w:fill="F4F6F8"/>
          </w:tcPr>
          <w:p w14:paraId="6A6F2374" w14:textId="77777777" w:rsidR="00EE7B5D" w:rsidRDefault="00285129">
            <w:pPr>
              <w:spacing w:before="100" w:after="100"/>
            </w:pPr>
            <w:r>
              <w:rPr>
                <w:sz w:val="18"/>
              </w:rPr>
              <w:t>120 jours à compter de la date limite de réception des offres</w:t>
            </w:r>
          </w:p>
        </w:tc>
      </w:tr>
    </w:tbl>
    <w:p w14:paraId="2EB5A596" w14:textId="77777777" w:rsidR="00EE7B5D" w:rsidRDefault="00285129">
      <w:pPr>
        <w:pStyle w:val="Titre1"/>
      </w:pPr>
      <w:r>
        <w:t>Article 1 Objet et périmètre</w:t>
      </w:r>
    </w:p>
    <w:p w14:paraId="099E44A9" w14:textId="77777777" w:rsidR="00EE7B5D" w:rsidRDefault="00285129" w:rsidP="009473B9">
      <w:pPr>
        <w:spacing w:after="80"/>
        <w:jc w:val="both"/>
      </w:pPr>
      <w:r>
        <w:t xml:space="preserve">Le marché porte sur la conception opérationnelle, la préparation, la coordination, la communication, la production technique et logistique, l’exploitation et le bilan de l’édition expérimentale 2027 de l’événement « Activez le mode péi », à La Réunion. Le CRT et les OTI coporteurs constituent la maîtrise d’ouvrage et arrêtent les orientations de l’opération. Le CRT est le seul interlocuteur contractuel et </w:t>
      </w:r>
      <w:r>
        <w:lastRenderedPageBreak/>
        <w:t>émet les bons de commande. Les prestations attendues et la répartition des responsabilités sont définies dans le CCP et les pièces financières.</w:t>
      </w:r>
    </w:p>
    <w:p w14:paraId="17BCC0B8" w14:textId="77777777" w:rsidR="005E32B9" w:rsidRDefault="00EB08DD">
      <w:r>
        <w:t>L’appellation « Activez le mode péi » est une dénomination de travail susceptible d’évoluer à l’initiative de la maîtrise d’ouvrage. Cette évolution ne modifie pas, par elle-même, l’objet ni le périmètre du marché. Les adaptations éventuelles des prestations de communication sont exécutées dans les conditions prévues à l’article 11 du CCP, aux prix contractuels applicables. Les adaptations simples après validation, hors corrections comprises, relèvent du poste 63 du BPU et ne donnent pas lieu à une nouvelle facturation du poste 43.</w:t>
      </w:r>
    </w:p>
    <w:p w14:paraId="3F3A0499" w14:textId="77777777" w:rsidR="00EE7B5D" w:rsidRDefault="00285129" w:rsidP="009473B9">
      <w:pPr>
        <w:spacing w:after="80"/>
        <w:jc w:val="both"/>
      </w:pPr>
      <w:r>
        <w:t>L’événement propose une expérience territoriale immersive et expérientielle à la clientèle locale et comporte un volet professionnel défini par les coporteurs. L’offre distingue les missions du titulaire des contributions confirmées des OTI et des interventions de leurs prestataires. Les objectifs de fréquentation et de commercialisation ne constituent pas des résultats garantis.</w:t>
      </w:r>
    </w:p>
    <w:p w14:paraId="2FCF2C70" w14:textId="77777777" w:rsidR="00EE7B5D" w:rsidRDefault="00285129">
      <w:pPr>
        <w:pStyle w:val="Titre1"/>
      </w:pPr>
      <w:r>
        <w:t>Article 2 Procédure et forme du marché</w:t>
      </w:r>
    </w:p>
    <w:p w14:paraId="39E889C6" w14:textId="77777777" w:rsidR="00EE7B5D" w:rsidRDefault="00285129" w:rsidP="009473B9">
      <w:pPr>
        <w:spacing w:after="80"/>
        <w:jc w:val="both"/>
      </w:pPr>
      <w:r>
        <w:t>La consultation est conduite selon une procédure adaptée en application des articles L. 2123-1 et R. 2123-1 du code de la commande publique. Le montant maximal global de 210 000 € HT, comprenant le forfait et l’intégralité de la partie variable, est strictement inférieur au seuil de 216 000 € HT applicable en 2026–2027 aux marchés de fournitures et de services des pouvoirs adjudicateurs autres que les autorités publiques centrales. L’acheteur se réserve la possibilité d’attribuer le marché sur les offres initiales sans négociation, conformément à l’article R. 2123-5.</w:t>
      </w:r>
    </w:p>
    <w:p w14:paraId="28FA368A" w14:textId="77777777" w:rsidR="00EE7B5D" w:rsidRDefault="00285129" w:rsidP="009473B9">
      <w:pPr>
        <w:spacing w:after="80"/>
        <w:jc w:val="both"/>
      </w:pPr>
      <w:r>
        <w:t>Le marché est composite et mono-attributaire : une partie ordinaire à prix global et forfaitaire, décomposée dans la DPGF, et une partie sous forme d’accord-cadre mono-attributaire à bons de commande, sans minimum. Le plafond global est de 210 000 € HT, forfait et partie variable compris. Le maximum propre à la partie variable est fixé à l’acte d’engagement et ne peut excéder la différence entre 210 000 € HT et le prix forfaitaire retenu. Il couvre les commandes, achats externes et frais de gestion. Les bons sont exécutés sans négociation ni remise en concurrence et sans marchés subséquents.</w:t>
      </w:r>
    </w:p>
    <w:p w14:paraId="220B1C29" w14:textId="77777777" w:rsidR="00EE7B5D" w:rsidRDefault="00285129" w:rsidP="009473B9">
      <w:pPr>
        <w:spacing w:after="80"/>
        <w:jc w:val="both"/>
      </w:pPr>
      <w:r>
        <w:t>La consultation porte sur un marché unique. Les prestations nécessitent une conception d’ensemble, un pilotage commun et une coordination étroite des interfaces techniques, de sécurité, de programmation et d’exploitation sur le même site. Leur séparation est susceptible de rendre l’exécution techniquement plus difficile. Le titulaire peut mobiliser des cotraitants et sous-traitants dans les conditions prévues au présent règlement et au CCP.</w:t>
      </w:r>
    </w:p>
    <w:p w14:paraId="1F440413" w14:textId="77777777" w:rsidR="00EE7B5D" w:rsidRDefault="00285129" w:rsidP="009473B9">
      <w:pPr>
        <w:spacing w:after="80"/>
        <w:jc w:val="both"/>
      </w:pPr>
      <w:r>
        <w:t>Les cinq postes de la DPGF constituent le socle forfaitaire obligatoire engagé à la notification. Le BPU porte sur les besoins variables effectivement commandés. L’ensemble de la communication demeure au BPU. L’estimation prévisionnelle de 150 000 € HT concerne l’ensemble du marché, forfait et commandes variables compris ; elle n’est ni un montant garanti ni le plafond contractuel de 210 000 € HT. Aucune répartition chiffrée entre forfait et commandes n’est imposée au candidat. Le DQE est non contractuel et sert exclusivement à comparer les offres. Ses quantités ne valent ni commandes ni minimum garanti.</w:t>
      </w:r>
    </w:p>
    <w:p w14:paraId="0F5D02B4" w14:textId="77777777" w:rsidR="00A8454F" w:rsidRPr="00A93957" w:rsidRDefault="00A8454F" w:rsidP="00A8454F">
      <w:pPr>
        <w:widowControl w:val="0"/>
        <w:spacing w:after="0" w:line="240" w:lineRule="auto"/>
        <w:ind w:right="-284"/>
        <w:rPr>
          <w:color w:val="00B0F0"/>
        </w:rPr>
      </w:pPr>
      <w:r>
        <w:t>Un financement FEDER est sollicité pour l’opération ; son obtention n’est pas confirmée.</w:t>
      </w:r>
    </w:p>
    <w:p w14:paraId="7E3D76E6" w14:textId="77777777" w:rsidR="00A8454F" w:rsidRPr="00A93957" w:rsidRDefault="00A8454F" w:rsidP="00A8454F">
      <w:pPr>
        <w:widowControl w:val="0"/>
        <w:spacing w:after="0" w:line="240" w:lineRule="auto"/>
        <w:ind w:right="-284"/>
        <w:rPr>
          <w:color w:val="0070C0"/>
        </w:rPr>
      </w:pPr>
      <w:r>
        <w:t>Les références et prescriptions du financement européen seront communiquées par le CRT après confirmation.</w:t>
      </w:r>
    </w:p>
    <w:p w14:paraId="170748A6" w14:textId="77777777" w:rsidR="00A8454F" w:rsidRDefault="00A8454F" w:rsidP="009473B9">
      <w:pPr>
        <w:spacing w:after="80"/>
        <w:jc w:val="both"/>
      </w:pPr>
    </w:p>
    <w:p w14:paraId="0D7ABBC9" w14:textId="77777777" w:rsidR="00EE7B5D" w:rsidRDefault="00285129" w:rsidP="009473B9">
      <w:pPr>
        <w:pStyle w:val="Titre1"/>
        <w:jc w:val="both"/>
      </w:pPr>
      <w:r>
        <w:lastRenderedPageBreak/>
        <w:t>Article 3 Durée et calendrier</w:t>
      </w:r>
    </w:p>
    <w:p w14:paraId="3882B954" w14:textId="29A7602E" w:rsidR="00EE7B5D" w:rsidRDefault="00285129" w:rsidP="009473B9">
      <w:pPr>
        <w:spacing w:after="80"/>
        <w:jc w:val="both"/>
      </w:pPr>
      <w:r>
        <w:t>Le marché prend effet à sa notification. L’exécution du socle forfaitaire commence à cette date, sauf démarrage ultérieur fixé par ordre de service écrit dans les conditions du CCP. L’ouverture au public se déroule les 19, 20 et 21 mars 2027 (dates prévisionnelles), soit trois jours, hors montage et démontage. Les horaires prévisionnels sont : vendredi 10 h–18 h, samedi 10 h–20 h et dimanche 10 h–18 h. L’inauguration et le temps professionnel sont envisagés le 18 mars en fin d’après-midi ou le 19 mars matin. Les horaires et le créneau définitifs sont confirmés par le CRT. Deux hypothèses de localisation sont envisagées à Saint-Paul : la Grotte du Peuplement et la Cocoteraie de l’Étang Saint-Paul. Ces deux sites ont déjà accueilli du public. Les demandes d’autorisation sont en préparation ; le choix du site, sa disponibilité et ses conditions d’occupation ne sont pas encore validés. L’expérience d’accueil du public ne préjuge pas des autorisations, capacités ou équipements disponibles pour la présente opération. Le site définitif et les informations utiles au chiffrage sont communiqués à tous les candidats selon le RC.</w:t>
      </w:r>
    </w:p>
    <w:p w14:paraId="0A0CA4E9" w14:textId="77777777" w:rsidR="00EE7B5D" w:rsidRDefault="00285129" w:rsidP="009473B9">
      <w:pPr>
        <w:spacing w:after="80"/>
        <w:jc w:val="both"/>
      </w:pPr>
      <w:r>
        <w:t>La durée totale et la période d’émission des bons de commande sont fixées à l’acte d’engagement. Le marché ne comporte pas de reconduction. Les bons sont émis dans leur période de validité, avec une échéance d’achèvement conforme aux pièces contractuelles. Le bilan, les indicateurs et le dossier de preuves sont remis dans les quinze jours calendaires suivant le dernier jour effectif de l’événement ; les corrections et autres prestations finales sont achevées au plus tard dans les trente jours prévus au CCP, sauf prolongation régulièrement décidée.</w:t>
      </w:r>
    </w:p>
    <w:p w14:paraId="221F2682" w14:textId="77777777" w:rsidR="00EE7B5D" w:rsidRDefault="00285129">
      <w:pPr>
        <w:pStyle w:val="Titre1"/>
      </w:pPr>
      <w:r>
        <w:t>Article 4 Dossier de consultation et échanges</w:t>
      </w:r>
    </w:p>
    <w:p w14:paraId="201514FB" w14:textId="77777777" w:rsidR="00EE7B5D" w:rsidRDefault="00285129" w:rsidP="009473B9">
      <w:pPr>
        <w:spacing w:after="80"/>
        <w:jc w:val="both"/>
      </w:pPr>
      <w:r>
        <w:t>Le DCE comprend le présent RC, l’acte d’engagement et ses annexes, le CCP, le classeur financier à trois feuillets DPGF, BPU et DQE et les annexes techniques expressément jointes, dont la fiche de visite et le modèle de déclaration sur l’honneur fourni par le CRT. Il ne comporte pas de CCAP et de CCTP séparés lorsque ces clauses sont réunies dans le CCP. L’ordre de priorité des pièces contractuelles est celui de l’article 2 du CCP. Le RC régit la consultation ; le DQE n’est pas contractuel.</w:t>
      </w:r>
    </w:p>
    <w:p w14:paraId="63D2AD29" w14:textId="77777777" w:rsidR="00EE7B5D" w:rsidRDefault="00285129" w:rsidP="009473B9">
      <w:pPr>
        <w:spacing w:after="80"/>
        <w:jc w:val="both"/>
      </w:pPr>
      <w:r>
        <w:t>Le DCE et les échanges sont accessibles sur le profil acheteur AWS. Les candidats s’identifient avec une adresse électronique valide et surveillent les notifications et les mises à jour. Les demandes de renseignements sont adressées exclusivement sur AWS au plus tard dix jours calendaires avant la date limite. Les réponses utiles à tous sont diffusées sur AWS au plus tard six jours calendaires avant cette date, sous réserve d’une demande présentée en temps utile.</w:t>
      </w:r>
    </w:p>
    <w:p w14:paraId="2449DEC7" w14:textId="77777777" w:rsidR="00EE7B5D" w:rsidRDefault="00285129" w:rsidP="009473B9">
      <w:pPr>
        <w:spacing w:after="80"/>
        <w:jc w:val="both"/>
      </w:pPr>
      <w:r>
        <w:t>Les modifications de détail sont communiquées au plus tard six jours calendaires avant la date limite. Les candidats répondent sur le dossier modifié. Une modification importante, une réponse tardive nécessaire à la préparation de l’offre ou une visite organisée trop près de l’échéance entraîne une prolongation proportionnée du délai de remise des offres. Le nouveau délai est publié sur AWS.</w:t>
      </w:r>
    </w:p>
    <w:p w14:paraId="40F44CD0" w14:textId="77777777" w:rsidR="00EE7B5D" w:rsidRDefault="00285129">
      <w:pPr>
        <w:pStyle w:val="Titre1"/>
      </w:pPr>
      <w:r>
        <w:t>Article 5 Visite obligatoire</w:t>
      </w:r>
    </w:p>
    <w:p w14:paraId="77339D34" w14:textId="77777777" w:rsidR="00EE7B5D" w:rsidRDefault="00285129">
      <w:pPr>
        <w:spacing w:after="80"/>
      </w:pPr>
      <w:r>
        <w:t>La visite obligatoire portera sur un seul des deux sites envisagés, désigné par le CRT pour l’ensemble des candidats : la Grotte du Peuplement ou la Cocoteraie de l’Étang Saint-Paul. La visite de l’un des sites ne vaut pas validation de son choix définitif. Le lieu, les créneaux, les modalités d’inscription et le contact sont publiés sur AWS. Tous les candidats bénéficient de conditions d’accès équivalentes et d’un délai suffisant après la visite pour préparer leur offre. Si le site finalement retenu diffère du site visité, le CRT diffuse à tous les candidats les données nécessaires à l’établissement d’offres comparables et adapte le délai de remise des offres lorsque nécessaire ; toute visite complémentaire rendue nécessaire est organisée dans les mêmes conditions d’égalité.</w:t>
      </w:r>
    </w:p>
    <w:p w14:paraId="1222C556" w14:textId="77777777" w:rsidR="00EE7B5D" w:rsidRDefault="00285129">
      <w:pPr>
        <w:spacing w:after="80"/>
      </w:pPr>
      <w:r>
        <w:t xml:space="preserve">Une attestation nominative est remise à l’issue de la visite et jointe à l’offre. L’absence de visite effectivement réalisée rend l’offre irrégulière. L’absence matérielle d’attestation peut faire l’objet d’une demande de complément si l’acheteur peut vérifier que la visite a été réalisée dans les délais. </w:t>
      </w:r>
      <w:r>
        <w:lastRenderedPageBreak/>
        <w:t>Aucune réponse orale donnée lors de la visite ne modifie le DCE ; les précisions utiles sont publiées sur AWS.</w:t>
      </w:r>
    </w:p>
    <w:p w14:paraId="5AF92804" w14:textId="77777777" w:rsidR="00EE7B5D" w:rsidRDefault="00285129">
      <w:pPr>
        <w:pStyle w:val="Titre1"/>
      </w:pPr>
      <w:r>
        <w:t>Article 6 Variantes et validité des offres</w:t>
      </w:r>
    </w:p>
    <w:p w14:paraId="23810F00" w14:textId="77777777" w:rsidR="00EE7B5D" w:rsidRDefault="00285129" w:rsidP="009473B9">
      <w:pPr>
        <w:spacing w:after="80"/>
        <w:jc w:val="both"/>
      </w:pPr>
      <w:r>
        <w:t>Les variantes ne sont pas autorisées. Aucune prestation supplémentaire éventuelle n’est demandée. Les propositions méthodologiques compatibles avec le CCP et le périmètre financier constituent des modalités de l’offre de base ; elles ne peuvent modifier les exigences ou introduire des prestations tarifées hors des cadres demandés.</w:t>
      </w:r>
    </w:p>
    <w:p w14:paraId="29293BE8" w14:textId="77777777" w:rsidR="00EE7B5D" w:rsidRDefault="00285129" w:rsidP="009473B9">
      <w:pPr>
        <w:spacing w:after="80"/>
        <w:jc w:val="both"/>
      </w:pPr>
      <w:r>
        <w:t>Les offres sont valables pendant 120 jours à compter de la date limite de réception. Une prolongation éventuelle est demandée aux candidats concernés avant l’expiration de ce délai et suppose leur accord.</w:t>
      </w:r>
    </w:p>
    <w:p w14:paraId="2DEC0302" w14:textId="77777777" w:rsidR="00EE7B5D" w:rsidRDefault="00285129">
      <w:pPr>
        <w:pStyle w:val="Titre1"/>
      </w:pPr>
      <w:r>
        <w:t>Article 7 Candidatures et capacités</w:t>
      </w:r>
    </w:p>
    <w:p w14:paraId="523C2164" w14:textId="77777777" w:rsidR="00EE7B5D" w:rsidRDefault="00285129" w:rsidP="009473B9">
      <w:pPr>
        <w:spacing w:after="80"/>
        <w:jc w:val="both"/>
      </w:pPr>
      <w:r>
        <w:t>Les candidats peuvent se présenter individuellement ou en groupement. Aucune forme de groupement n’est imposée. Le mandataire est identifié et habilité par les membres. Les capacités sont appréciées globalement ; chaque membre produit les pièces relatives à sa situation. Un candidat peut s’appuyer sur les capacités d’un autre opérateur en produisant les justificatifs de ses capacités et un engagement établissant leur mise à disposition effective.</w:t>
      </w:r>
    </w:p>
    <w:p w14:paraId="67D9E5F9" w14:textId="77777777" w:rsidR="00EE7B5D" w:rsidRDefault="00285129" w:rsidP="009473B9">
      <w:pPr>
        <w:spacing w:after="80"/>
        <w:jc w:val="both"/>
      </w:pPr>
      <w:r>
        <w:t>La candidature comprend les formulaires DC1 et DC2, ou des renseignements équivalents, ou un DUME électronique en français. Elle comporte une déclaration sur l’honneur relative aux exclusions, établie sur le modèle fourni par le CRT dans le DCE ou au moyen d’un DC1, d’un DUME ou d’un document équivalent contenant les mêmes déclarations, les pouvoirs du signataire lorsque nécessaires et, pour un candidat en redressement judiciaire, les décisions permettant de vérifier qu’il peut poursuivre son activité pendant l’exécution du marché. Les exclusions sont appréciées conformément aux articles L. 2141-1 et suivants ; un redressement judiciaire ne constitue pas à lui seul une exclusion automatique.</w:t>
      </w:r>
    </w:p>
    <w:p w14:paraId="2D5869D5" w14:textId="77777777" w:rsidR="00EE7B5D" w:rsidRDefault="00285129" w:rsidP="009473B9">
      <w:pPr>
        <w:spacing w:after="80"/>
        <w:jc w:val="both"/>
      </w:pPr>
      <w:r>
        <w:t>Pour apprécier les capacités, les candidats fournissent :</w:t>
      </w:r>
    </w:p>
    <w:p w14:paraId="33E0EB31" w14:textId="77777777" w:rsidR="00EE7B5D" w:rsidRDefault="00285129" w:rsidP="009473B9">
      <w:pPr>
        <w:spacing w:after="80"/>
        <w:jc w:val="both"/>
      </w:pPr>
      <w:r>
        <w:t>• Le chiffre d’affaires global et celui relatif aux prestations similaires pour les trois derniers exercices disponibles ; aucun seuil minimal de chiffre d’affaires n’est imposé.</w:t>
      </w:r>
    </w:p>
    <w:p w14:paraId="56AB9655" w14:textId="77777777" w:rsidR="00EE7B5D" w:rsidRDefault="00285129" w:rsidP="009473B9">
      <w:pPr>
        <w:spacing w:after="80"/>
        <w:jc w:val="both"/>
      </w:pPr>
      <w:r>
        <w:t>• Les principales prestations comparables réalisées au cours des trois dernières années, avec objet, montant, date et destinataire public ou privé, justifiées par attestations ou, à défaut, déclaration du candidat.</w:t>
      </w:r>
    </w:p>
    <w:p w14:paraId="0FB32B6D" w14:textId="77777777" w:rsidR="00EE7B5D" w:rsidRDefault="00285129" w:rsidP="009473B9">
      <w:pPr>
        <w:spacing w:after="80"/>
        <w:jc w:val="both"/>
      </w:pPr>
      <w:r>
        <w:t>• Les moyens humains et techniques et les qualifications permettant d’exécuter une opération événementielle accueillant du public et impliquant plusieurs partenaires et prestataires.</w:t>
      </w:r>
    </w:p>
    <w:p w14:paraId="6795A154" w14:textId="77777777" w:rsidR="00EE7B5D" w:rsidRDefault="00285129" w:rsidP="009473B9">
      <w:pPr>
        <w:spacing w:after="80"/>
        <w:jc w:val="both"/>
      </w:pPr>
      <w:r>
        <w:t>• Une attestation d’assurance des risques professionnels ou une déclaration appropriée ; les assurances propres à l’exécution sont exigées conformément à l’article 13 du CCP.</w:t>
      </w:r>
    </w:p>
    <w:p w14:paraId="725AFE36" w14:textId="77777777" w:rsidR="00EE7B5D" w:rsidRDefault="00285129" w:rsidP="009473B9">
      <w:pPr>
        <w:spacing w:after="80"/>
        <w:jc w:val="both"/>
      </w:pPr>
      <w:r>
        <w:t>Les entreprises récentes peuvent produire tout moyen de preuve équivalent adapté à leur ancienneté. L’absence de références identiques ne justifie pas à elle seule un rejet. Les justificatifs fiscaux et sociaux sont demandés au candidat pressenti pour l’attribution dans les conditions réglementaires. L’acheteur peut demander de compléter les candidatures incomplètes dans un délai commun aux candidats concernés.</w:t>
      </w:r>
    </w:p>
    <w:p w14:paraId="27D750A2" w14:textId="77777777" w:rsidR="00EE7B5D" w:rsidRDefault="00285129" w:rsidP="009473B9">
      <w:pPr>
        <w:spacing w:after="80"/>
        <w:jc w:val="both"/>
      </w:pPr>
      <w:r>
        <w:lastRenderedPageBreak/>
        <w:t>Les sous-traitants connus sont identifiés, avec les prestations confiées et, lorsqu’ils sont présentés à l’acceptation, un DC4 ou équivalent. S’ils apportent des capacités nécessaires à la candidature, leur engagement de mise à disposition est joint. Leur acceptation et l’agrément de leurs conditions de paiement relèvent des règles applicables et du CCP. Le titulaire reste responsable de leur exécution.</w:t>
      </w:r>
    </w:p>
    <w:p w14:paraId="0A3D29CD" w14:textId="77777777" w:rsidR="00EE7B5D" w:rsidRDefault="00285129">
      <w:pPr>
        <w:pStyle w:val="Titre1"/>
      </w:pPr>
      <w:r>
        <w:t>Article 8 Contenu et présentation de l’offre</w:t>
      </w:r>
    </w:p>
    <w:p w14:paraId="677953DE" w14:textId="77777777" w:rsidR="00EE7B5D" w:rsidRDefault="00285129">
      <w:pPr>
        <w:spacing w:after="80"/>
      </w:pPr>
      <w:r>
        <w:t>Les offres sont rédigées en français et les prix exprimés en euros. Elles comprennent obligatoirement :</w:t>
      </w:r>
    </w:p>
    <w:p w14:paraId="349366E8" w14:textId="77777777" w:rsidR="00EE7B5D" w:rsidRDefault="00285129">
      <w:pPr>
        <w:spacing w:after="80"/>
      </w:pPr>
      <w:r>
        <w:t>• L’acte d’engagement et ses annexes demandées : cadre de réponse obligatoire, à compléter et à signer.</w:t>
      </w:r>
    </w:p>
    <w:p w14:paraId="15DFA468" w14:textId="77777777" w:rsidR="00EE7B5D" w:rsidRDefault="00285129">
      <w:pPr>
        <w:spacing w:after="80"/>
      </w:pPr>
      <w:r>
        <w:t>• Le classeur financier DPGF, BPU et DQE au format XLSX : cadre de réponse obligatoire. La DPGF et le BPU, documents contractuels, sont complétés en intégralité dans les cellules réservées au candidat et signés. Une copie PDF signée de ces deux feuillets accompagne le classeur XLSX. À défaut, l’offre pourrait être considérée comme irrégulière. Le DQE est non contractuel et calculé automatiquement à partir des prix et taux renseignés. Les quantités communes du DQE, les formules et le prix de remboursement au coût réel fixé à 1 € HT restent inchangés. Un prix nul est saisi explicitement à zéro ; une cellule vide n’équivaut pas à un prix nul.</w:t>
      </w:r>
    </w:p>
    <w:p w14:paraId="3FB2E041" w14:textId="77777777" w:rsidR="00EE7B5D" w:rsidRDefault="00285129">
      <w:pPr>
        <w:spacing w:after="80"/>
      </w:pPr>
      <w:r>
        <w:t>• Le mémoire technique organisé selon les huit rubriques ci-dessous, avec les CV des principaux intervenants.</w:t>
      </w:r>
    </w:p>
    <w:p w14:paraId="4C51F97A" w14:textId="77777777" w:rsidR="00EE7B5D" w:rsidRDefault="00285129">
      <w:pPr>
        <w:spacing w:after="80"/>
      </w:pPr>
      <w:r w:rsidRPr="005210FF">
        <w:t>• L’attestation de visite du site.</w:t>
      </w:r>
    </w:p>
    <w:p w14:paraId="7FDC8B51" w14:textId="77777777" w:rsidR="00EE7B5D" w:rsidRDefault="00285129">
      <w:pPr>
        <w:spacing w:after="80"/>
      </w:pPr>
      <w:r>
        <w:t>• Les déclarations de sous-traitance présentées avec l’offre, le cas échéant.</w:t>
      </w:r>
    </w:p>
    <w:p w14:paraId="4AD9A600" w14:textId="77777777" w:rsidR="004F503C" w:rsidRDefault="00285129">
      <w:pPr>
        <w:spacing w:after="80"/>
      </w:pPr>
      <w:r>
        <w:t>Rubriques du mémoire technique</w:t>
      </w:r>
    </w:p>
    <w:p w14:paraId="1AC22658" w14:textId="77777777" w:rsidR="004F503C" w:rsidRDefault="00285129">
      <w:pPr>
        <w:spacing w:after="80"/>
      </w:pPr>
      <w:r>
        <w:t>1. Compréhension du besoin : objectifs, publics, contraintes du site et responsabilités de la maîtrise d’ouvrage et du titulaire.</w:t>
      </w:r>
    </w:p>
    <w:p w14:paraId="2545B75E" w14:textId="77777777" w:rsidR="004F503C" w:rsidRDefault="00285129">
      <w:pPr>
        <w:spacing w:after="80"/>
      </w:pPr>
      <w:r>
        <w:t>2. Méthodologie et coordination : rétroplanning, validations, budget, risques et articulation avec les marchés et moyens existants des OTI.</w:t>
      </w:r>
    </w:p>
    <w:p w14:paraId="7E9849DE" w14:textId="77777777" w:rsidR="004F503C" w:rsidRDefault="00285129">
      <w:pPr>
        <w:spacing w:after="80"/>
      </w:pPr>
      <w:r>
        <w:t>3. Approche opérationnelle et expérience visiteur : ambiances territoriales, parcours, programmation, accessibilité et volet professionnel.</w:t>
      </w:r>
    </w:p>
    <w:p w14:paraId="3356B6BF" w14:textId="77777777" w:rsidR="004F503C" w:rsidRDefault="00285129">
      <w:pPr>
        <w:spacing w:after="80"/>
      </w:pPr>
      <w:r>
        <w:t>4. Organisation technique et logistique : implantation, équipements, flux, montage et démontage, sécurité, secours, eau, électricité, navettes et continuité.</w:t>
      </w:r>
    </w:p>
    <w:p w14:paraId="20AD82D9" w14:textId="77777777" w:rsidR="004F503C" w:rsidRDefault="00285129">
      <w:pPr>
        <w:spacing w:after="80"/>
      </w:pPr>
      <w:r>
        <w:t>5. Équipe dédiée : organisation, rôles, CV, disponibilité, continuité et recours aux cotraitants ou sous-traitants.</w:t>
      </w:r>
    </w:p>
    <w:p w14:paraId="3B8180EB" w14:textId="77777777" w:rsidR="004F503C" w:rsidRDefault="00285129">
      <w:pPr>
        <w:spacing w:after="80"/>
      </w:pPr>
      <w:r>
        <w:t>6. Communication : stratégie, identité visuelle, mobilisation des publics, relais OTI, calendrier, productions et droits.</w:t>
      </w:r>
    </w:p>
    <w:p w14:paraId="723B9926" w14:textId="77777777" w:rsidR="004F503C" w:rsidRDefault="00285129">
      <w:pPr>
        <w:spacing w:after="80"/>
      </w:pPr>
      <w:r>
        <w:t>7. Suivi et bilan : comptage, enquêtes, indicateurs, collecte et protection des données, bilan et justificatifs de réalisation.</w:t>
      </w:r>
    </w:p>
    <w:p w14:paraId="736F4894" w14:textId="77777777" w:rsidR="004F503C" w:rsidRDefault="00285129">
      <w:pPr>
        <w:spacing w:after="80"/>
      </w:pPr>
      <w:r>
        <w:t>8. Performance environnementale : mesures adaptées au contexte insulaire, objectifs mesurables, moyens de suivi et preuves.</w:t>
      </w:r>
    </w:p>
    <w:p w14:paraId="0F4046B0" w14:textId="77777777" w:rsidR="004F503C" w:rsidRDefault="00285129">
      <w:pPr>
        <w:spacing w:after="80"/>
      </w:pPr>
      <w:r>
        <w:t>Le DQE simule trois jours d’ouverture, cinq espaces territoriaux et 55 exposants, dans la fourchette prévisionnelle de 50 à 60. Il retient 10 h–18 h le vendredi et le dimanche et 10 h–20 h le samedi, avec deux heures supplémentaires de coordination et les heures de personnel correspondantes. L’inauguration et le transport des voyageurs par navettes restent hors simulation. Les plages, capacités et inclusions tarifaires sont définies dans les pièces financières. Ces hypothèses ne valent ni validation définitive du programme ni engagement de commande. Le mémoire décrit les caractéristiques des équipements et du transport proposés et identifie les prestations couvertes par les moyens confirmés des OTI afin de prévenir les doublons. Le DQE intègre également une hypothèse commune de cinq supports graphiques adaptés au poste 63, sans engagement de commande.</w:t>
      </w:r>
    </w:p>
    <w:p w14:paraId="2FE47739" w14:textId="77777777" w:rsidR="00EE7B5D" w:rsidRDefault="00285129">
      <w:pPr>
        <w:pStyle w:val="Titre1"/>
      </w:pPr>
      <w:r>
        <w:t>Article 9 Dépôt électronique et copie de sauvegarde</w:t>
      </w:r>
    </w:p>
    <w:p w14:paraId="6ABEA2C4" w14:textId="77777777" w:rsidR="00EE7B5D" w:rsidRDefault="00285129">
      <w:pPr>
        <w:spacing w:after="80"/>
      </w:pPr>
      <w:r>
        <w:t>Les candidatures et offres sont transmises exclusivement sur AWS avant la date et l’heure indiquées en tête du RC et dans l’avis. L’heure de référence est celle de La Réunion (UTC+4). Un envoi par courriel ne vaut pas dépôt. Les candidats anticipent le transfert de leurs fichiers et conservent l’accusé de réception. Les plis reçus hors délai sont éliminés.</w:t>
      </w:r>
    </w:p>
    <w:p w14:paraId="2E7729F9" w14:textId="77777777" w:rsidR="00EE7B5D" w:rsidRDefault="00285129">
      <w:pPr>
        <w:spacing w:after="80"/>
      </w:pPr>
      <w:r>
        <w:t>Les formats recommandés sont PDF pour les documents rédigés et XLSX pour les pièces financières, accompagnés des formats éditables demandés. Les fichiers sont lisibles, sans mot de passe et sans code malveillant. Les limites de taille et consignes techniques sont celles affichées par AWS. En cas de dépôts successifs, seul le dernier pli reçu dans les délais est ouvert : il doit contenir la totalité des pièces.</w:t>
      </w:r>
    </w:p>
    <w:p w14:paraId="2C91F719" w14:textId="77777777" w:rsidR="00EE7B5D" w:rsidRDefault="00285129">
      <w:pPr>
        <w:spacing w:after="80"/>
      </w:pPr>
      <w:r>
        <w:t>Une copie de sauvegarde peut être remise sur papier ou support physique électronique, sous pli fermé portant « Copie de sauvegarde — Activez le mode péi 2027 — Nom du candidat — Ne pas ouvrir », à l’adresse de l’acheteur indiquée en tête, avant la même échéance. Elle n’est ouverte que dans les cas réglementaires. Une transmission électronique de sauvegarde est possible lorsqu’un dispositif conforme est expressément indiqué sur AWS. La copie ne se substitue pas au dépôt principal.</w:t>
      </w:r>
    </w:p>
    <w:p w14:paraId="76C1320D" w14:textId="77777777" w:rsidR="00EE7B5D" w:rsidRDefault="00285129">
      <w:pPr>
        <w:pStyle w:val="Titre1"/>
      </w:pPr>
      <w:r>
        <w:t>Article 10 Examen des offres et notation</w:t>
      </w:r>
    </w:p>
    <w:p w14:paraId="6CAA10DC" w14:textId="77777777" w:rsidR="00EE7B5D" w:rsidRDefault="00285129">
      <w:pPr>
        <w:spacing w:after="80"/>
      </w:pPr>
      <w:r>
        <w:t>L’acheteur vérifie les candidatures et la conformité des offres au DCE. Les offres inappropriées sont éliminées. Les offres irrégulières ou inacceptables peuvent être traitées ou régularisées dans les conditions du code, notamment au cours de la négociation ; les offres anormalement basses font l’objet de la procédure de vérification prévue par les textes. Aucune régularisation ne peut modifier substantiellement l’offre. Seules les offres admissibles au classement sont notées.</w:t>
      </w:r>
    </w:p>
    <w:tbl>
      <w:tblPr>
        <w:tblW w:w="0" w:type="auto"/>
        <w:tblLayout w:type="fixed"/>
        <w:tblLook w:val="04A0" w:firstRow="1" w:lastRow="0" w:firstColumn="1" w:lastColumn="0" w:noHBand="0" w:noVBand="1"/>
      </w:tblPr>
      <w:tblGrid>
        <w:gridCol w:w="2880"/>
        <w:gridCol w:w="2880"/>
        <w:gridCol w:w="2880"/>
      </w:tblGrid>
      <w:tr w:rsidR="00EE7B5D" w14:paraId="5EB0DF13" w14:textId="77777777">
        <w:trPr>
          <w:tblHeader/>
        </w:trPr>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5355B6BD" w14:textId="77777777" w:rsidR="00EE7B5D" w:rsidRDefault="00285129">
            <w:pPr>
              <w:spacing w:before="100" w:after="100"/>
            </w:pPr>
            <w:r>
              <w:rPr>
                <w:b/>
                <w:sz w:val="18"/>
              </w:rPr>
              <w:t>Critère</w:t>
            </w:r>
          </w:p>
        </w:tc>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1A506361" w14:textId="77777777" w:rsidR="00EE7B5D" w:rsidRDefault="00285129">
            <w:pPr>
              <w:spacing w:before="100" w:after="100"/>
            </w:pPr>
            <w:r>
              <w:rPr>
                <w:b/>
                <w:sz w:val="18"/>
              </w:rPr>
              <w:t>Pondération</w:t>
            </w:r>
          </w:p>
        </w:tc>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1901373D" w14:textId="77777777" w:rsidR="00EE7B5D" w:rsidRDefault="00285129">
            <w:pPr>
              <w:spacing w:before="100" w:after="100"/>
            </w:pPr>
            <w:r>
              <w:rPr>
                <w:b/>
                <w:sz w:val="18"/>
              </w:rPr>
              <w:t>Base de notation</w:t>
            </w:r>
          </w:p>
        </w:tc>
      </w:tr>
      <w:tr w:rsidR="00EE7B5D" w14:paraId="4D9B8206" w14:textId="77777777">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426AB36B" w14:textId="77777777" w:rsidR="00EE7B5D" w:rsidRDefault="00285129">
            <w:pPr>
              <w:spacing w:before="100" w:after="100"/>
            </w:pPr>
            <w:r>
              <w:rPr>
                <w:sz w:val="18"/>
              </w:rPr>
              <w:t>Valeur économique</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1271EFB5" w14:textId="77777777" w:rsidR="00EE7B5D" w:rsidRDefault="00285129">
            <w:pPr>
              <w:spacing w:before="100" w:after="100"/>
            </w:pPr>
            <w:r>
              <w:rPr>
                <w:sz w:val="18"/>
              </w:rPr>
              <w:t>30 points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3805B272" w14:textId="77777777" w:rsidR="00EE7B5D" w:rsidRDefault="00285129">
            <w:pPr>
              <w:spacing w:before="100" w:after="100"/>
            </w:pPr>
            <w:r>
              <w:rPr>
                <w:sz w:val="18"/>
              </w:rPr>
              <w:t>DPGF HT + simulation variable du DQE HT</w:t>
            </w:r>
          </w:p>
        </w:tc>
      </w:tr>
      <w:tr w:rsidR="00EE7B5D" w14:paraId="70E0C75F" w14:textId="77777777">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61D80C60" w14:textId="77777777" w:rsidR="00EE7B5D" w:rsidRDefault="00285129">
            <w:pPr>
              <w:spacing w:before="100" w:after="100"/>
            </w:pPr>
            <w:r>
              <w:rPr>
                <w:sz w:val="18"/>
              </w:rPr>
              <w:t>Valeur technique</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385FA3CE" w14:textId="77777777" w:rsidR="00EE7B5D" w:rsidRDefault="00285129">
            <w:pPr>
              <w:spacing w:before="100" w:after="100"/>
            </w:pPr>
            <w:r>
              <w:rPr>
                <w:sz w:val="18"/>
              </w:rPr>
              <w:t>60 points</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481BE303" w14:textId="77777777" w:rsidR="004F503C" w:rsidRDefault="00285129">
            <w:r>
              <w:t>Mémoire technique selon les cinq sous-critères ci-dessous</w:t>
            </w:r>
          </w:p>
        </w:tc>
      </w:tr>
      <w:tr w:rsidR="00EE7B5D" w14:paraId="2C5298D9" w14:textId="77777777">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7A4D8D2E" w14:textId="77777777" w:rsidR="00EE7B5D" w:rsidRDefault="00285129">
            <w:pPr>
              <w:spacing w:before="100" w:after="100"/>
            </w:pPr>
            <w:r>
              <w:rPr>
                <w:sz w:val="18"/>
              </w:rPr>
              <w:t>Performance environnementale</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0C2E1FB7" w14:textId="77777777" w:rsidR="00EE7B5D" w:rsidRDefault="00285129">
            <w:pPr>
              <w:spacing w:before="100" w:after="100"/>
            </w:pPr>
            <w:r>
              <w:rPr>
                <w:sz w:val="18"/>
              </w:rPr>
              <w:t>10 points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608368A6" w14:textId="77777777" w:rsidR="00EE7B5D" w:rsidRDefault="00285129">
            <w:pPr>
              <w:spacing w:before="100" w:after="100"/>
            </w:pPr>
            <w:r>
              <w:rPr>
                <w:sz w:val="18"/>
              </w:rPr>
              <w:t>Engagements mesurables applicables à l’opération</w:t>
            </w:r>
          </w:p>
        </w:tc>
      </w:tr>
    </w:tbl>
    <w:p w14:paraId="77BE8FED" w14:textId="77777777" w:rsidR="00EE7B5D" w:rsidRDefault="00285129">
      <w:pPr>
        <w:pStyle w:val="Titre2"/>
      </w:pPr>
      <w:r>
        <w:lastRenderedPageBreak/>
        <w:t>Valeur économique</w:t>
      </w:r>
    </w:p>
    <w:p w14:paraId="64A461CB" w14:textId="77777777" w:rsidR="00EE7B5D" w:rsidRDefault="00285129">
      <w:pPr>
        <w:spacing w:after="80"/>
      </w:pPr>
      <w:r>
        <w:t>La note économique sur 30 est calculée comme suit : 30 × montant comparatif HT de l’offre admissible la moins chère / montant comparatif HT de l’offre analysée. Le montant comparatif correspond au total HT du DQE, socle forfaitaire inclus. L’offre la moins chère obtient 30 points ; les autres offres obtiennent une note proportionnelle à leur prix. Ainsi, pour une offre la moins chère de 100 000 € HT, une offre de 120 000 € HT obtient 25 points. Les achats simulés du poste 52 sont inclus une seule fois ; les frais des postes 47 et 53 sont ajoutés sur leurs assiettes respectives. Le poste 52 comporte une base commune de 15 000 € HT et un prix imposé de 1 € HT : le montant comparatif ne peut donc pas être nul lorsque le cadre financier est respecté. Les vérifications des offres anormalement basses restent applicables.</w:t>
      </w:r>
    </w:p>
    <w:p w14:paraId="11489BC4" w14:textId="77777777" w:rsidR="00EE7B5D" w:rsidRDefault="00285129">
      <w:pPr>
        <w:pStyle w:val="Titre2"/>
      </w:pPr>
      <w:r>
        <w:t>Valeur technique</w:t>
      </w:r>
    </w:p>
    <w:tbl>
      <w:tblPr>
        <w:tblW w:w="8640" w:type="dxa"/>
        <w:tblLayout w:type="fixed"/>
        <w:tblLook w:val="04A0" w:firstRow="1" w:lastRow="0" w:firstColumn="1" w:lastColumn="0" w:noHBand="0" w:noVBand="1"/>
      </w:tblPr>
      <w:tblGrid>
        <w:gridCol w:w="2880"/>
        <w:gridCol w:w="2880"/>
        <w:gridCol w:w="2880"/>
      </w:tblGrid>
      <w:tr w:rsidR="00EE7B5D" w14:paraId="49EBF124" w14:textId="77777777" w:rsidTr="009473B9">
        <w:trPr>
          <w:tblHeader/>
        </w:trPr>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298C5AB6" w14:textId="77777777" w:rsidR="00EE7B5D" w:rsidRDefault="00285129">
            <w:pPr>
              <w:spacing w:before="100" w:after="100"/>
            </w:pPr>
            <w:r>
              <w:rPr>
                <w:b/>
                <w:sz w:val="18"/>
              </w:rPr>
              <w:t>Sous-critère</w:t>
            </w:r>
          </w:p>
        </w:tc>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0880CDEA" w14:textId="77777777" w:rsidR="004F503C" w:rsidRDefault="00285129">
            <w:r>
              <w:t>Pondération technique relative</w:t>
            </w:r>
          </w:p>
        </w:tc>
        <w:tc>
          <w:tcPr>
            <w:tcW w:w="2880" w:type="dxa"/>
            <w:tcBorders>
              <w:top w:val="single" w:sz="4" w:space="0" w:color="D9D9D9"/>
              <w:left w:val="single" w:sz="4" w:space="0" w:color="D9D9D9"/>
              <w:bottom w:val="single" w:sz="4" w:space="0" w:color="D9D9D9"/>
              <w:right w:val="single" w:sz="4" w:space="0" w:color="D9D9D9"/>
            </w:tcBorders>
            <w:shd w:val="clear" w:color="auto" w:fill="D9E2F3"/>
          </w:tcPr>
          <w:p w14:paraId="50683CA9" w14:textId="77777777" w:rsidR="004F503C" w:rsidRDefault="00285129">
            <w:r>
              <w:t>Points dans la note finale</w:t>
            </w:r>
          </w:p>
        </w:tc>
      </w:tr>
      <w:tr w:rsidR="00EE7B5D" w14:paraId="04E9F0B5" w14:textId="77777777" w:rsidTr="009473B9">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7B8ED26F" w14:textId="77777777" w:rsidR="00EE7B5D" w:rsidRDefault="00285129">
            <w:pPr>
              <w:spacing w:before="100" w:after="100"/>
            </w:pPr>
            <w:r>
              <w:rPr>
                <w:sz w:val="18"/>
              </w:rPr>
              <w:t>Compréhension du besoin et pertinence de l’approche</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312BDCCB" w14:textId="77777777" w:rsidR="004F503C" w:rsidRDefault="00285129">
            <w:r>
              <w:t>25 %</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7AC223F2" w14:textId="77777777" w:rsidR="004F503C" w:rsidRDefault="00285129">
            <w:r>
              <w:t>15</w:t>
            </w:r>
          </w:p>
        </w:tc>
      </w:tr>
      <w:tr w:rsidR="00EE7B5D" w14:paraId="70CE73E6" w14:textId="77777777" w:rsidTr="009473B9">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1DC3F18D" w14:textId="77777777" w:rsidR="00EE7B5D" w:rsidRDefault="00285129">
            <w:pPr>
              <w:spacing w:before="100" w:after="100"/>
            </w:pPr>
            <w:r>
              <w:rPr>
                <w:sz w:val="18"/>
              </w:rPr>
              <w:t>Méthodologie, rétroplanning et coordination multi-acteurs</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01165EA1" w14:textId="77777777" w:rsidR="004F503C" w:rsidRDefault="00285129">
            <w:r>
              <w:t>25 %</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52390700" w14:textId="77777777" w:rsidR="004F503C" w:rsidRDefault="00285129">
            <w:r>
              <w:t>15</w:t>
            </w:r>
          </w:p>
        </w:tc>
      </w:tr>
      <w:tr w:rsidR="00EE7B5D" w14:paraId="1EAC2B6B" w14:textId="77777777" w:rsidTr="009473B9">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3B412F3F" w14:textId="77777777" w:rsidR="00EE7B5D" w:rsidRDefault="00285129">
            <w:pPr>
              <w:spacing w:before="100" w:after="100"/>
            </w:pPr>
            <w:r>
              <w:rPr>
                <w:sz w:val="18"/>
              </w:rPr>
              <w:t>Approche opérationnelle et expérience visiteur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4EBE64EB" w14:textId="77777777" w:rsidR="004F503C" w:rsidRDefault="00285129">
            <w:r>
              <w:t>20 %</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79326DD3" w14:textId="77777777" w:rsidR="004F503C" w:rsidRDefault="00285129">
            <w:r>
              <w:t>12</w:t>
            </w:r>
          </w:p>
        </w:tc>
      </w:tr>
      <w:tr w:rsidR="00EE7B5D" w14:paraId="1D47AE72" w14:textId="77777777" w:rsidTr="009473B9">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4E0A73C6" w14:textId="77777777" w:rsidR="00EE7B5D" w:rsidRDefault="00285129">
            <w:pPr>
              <w:spacing w:before="100" w:after="100"/>
            </w:pPr>
            <w:r>
              <w:rPr>
                <w:sz w:val="18"/>
              </w:rPr>
              <w:t>Organisation technique, logistique, sécurité et aléas</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02084CD9" w14:textId="77777777" w:rsidR="004F503C" w:rsidRDefault="00285129">
            <w:r>
              <w:t>15 %</w:t>
            </w:r>
          </w:p>
        </w:tc>
        <w:tc>
          <w:tcPr>
            <w:tcW w:w="2880" w:type="dxa"/>
            <w:tcBorders>
              <w:top w:val="single" w:sz="4" w:space="0" w:color="D9D9D9"/>
              <w:left w:val="single" w:sz="4" w:space="0" w:color="D9D9D9"/>
              <w:bottom w:val="single" w:sz="4" w:space="0" w:color="D9D9D9"/>
              <w:right w:val="single" w:sz="4" w:space="0" w:color="D9D9D9"/>
            </w:tcBorders>
            <w:shd w:val="clear" w:color="auto" w:fill="F4F6F8"/>
          </w:tcPr>
          <w:p w14:paraId="1378D31D" w14:textId="77777777" w:rsidR="004F503C" w:rsidRDefault="00285129">
            <w:r>
              <w:t>9</w:t>
            </w:r>
          </w:p>
        </w:tc>
      </w:tr>
      <w:tr w:rsidR="00EE7B5D" w14:paraId="6AF485E3" w14:textId="77777777" w:rsidTr="009473B9">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61FC0AA7" w14:textId="77777777" w:rsidR="00EE7B5D" w:rsidRDefault="00285129">
            <w:pPr>
              <w:spacing w:before="100" w:after="100"/>
            </w:pPr>
            <w:r>
              <w:rPr>
                <w:sz w:val="18"/>
              </w:rPr>
              <w:t>Qualité et expérience de l’équipe dédiée</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1D318E33" w14:textId="77777777" w:rsidR="004F503C" w:rsidRDefault="00285129">
            <w:r>
              <w:t>15 %</w:t>
            </w:r>
          </w:p>
        </w:tc>
        <w:tc>
          <w:tcPr>
            <w:tcW w:w="2880" w:type="dxa"/>
            <w:tcBorders>
              <w:top w:val="single" w:sz="4" w:space="0" w:color="D9D9D9"/>
              <w:left w:val="single" w:sz="4" w:space="0" w:color="D9D9D9"/>
              <w:bottom w:val="single" w:sz="4" w:space="0" w:color="D9D9D9"/>
              <w:right w:val="single" w:sz="4" w:space="0" w:color="D9D9D9"/>
            </w:tcBorders>
            <w:shd w:val="clear" w:color="auto" w:fill="FFFFFF"/>
          </w:tcPr>
          <w:p w14:paraId="1128F2BA" w14:textId="77777777" w:rsidR="004F503C" w:rsidRDefault="00285129">
            <w:r>
              <w:t>9</w:t>
            </w:r>
          </w:p>
        </w:tc>
      </w:tr>
    </w:tbl>
    <w:p w14:paraId="41C137C5" w14:textId="77777777" w:rsidR="00EE7B5D" w:rsidRDefault="00285129">
      <w:pPr>
        <w:spacing w:after="80"/>
      </w:pPr>
      <w:r>
        <w:t>Les éléments techniques sont appréciés selon les cinq sous-critères du tableau. La compréhension du besoin correspond à la rubrique 1 du mémoire ; la méthodologie et la coordination à la rubrique 2 ; l’approche opérationnelle et l’expérience visiteur aux rubriques 3 et 6 ; l’organisation technique, logistique, sécurité et aléas aux rubriques 4 et 7 ; l’équipe dédiée à la rubrique 5. La communication est appréciée pour sa contribution au parcours, à l’information et à la mobilisation des publics. Le suivi et le bilan sont appréciés pour leur méthode et leurs moyens. La pertinence de l’équipe est appréciée sur les rôles, qualifications, expérience, disponibilité et continuité des intervenants affectés au marché. Les références générales de l’entreprise relèvent de la candidature. Les propositions respectent la gouvernance définie au CCP.</w:t>
      </w:r>
    </w:p>
    <w:p w14:paraId="2C856665" w14:textId="77777777" w:rsidR="00EE7B5D" w:rsidRDefault="00285129">
      <w:pPr>
        <w:pStyle w:val="Titre2"/>
      </w:pPr>
      <w:r>
        <w:t>Performance environnementale</w:t>
      </w:r>
    </w:p>
    <w:p w14:paraId="14B604C4" w14:textId="77777777" w:rsidR="00EE7B5D" w:rsidRDefault="00285129">
      <w:pPr>
        <w:spacing w:after="80"/>
      </w:pPr>
      <w:r>
        <w:t>Le critère est apprécié globalement sur la pertinence et la faisabilité des mesures de la rubrique 8, leur adaptation au site et au contexte insulaire, leurs objectifs mesurables, les moyens de suivi et les preuves prévues. La simple déclaration d’intention ou une certification sans application démontrée à l’opération ne suffit pas. Ce critère ne rémunère pas une seconde fois les aspects techniques du parcours ou de l’exploitation.</w:t>
      </w:r>
    </w:p>
    <w:p w14:paraId="25E17F0A" w14:textId="77777777" w:rsidR="00EE7B5D" w:rsidRDefault="00285129">
      <w:pPr>
        <w:pStyle w:val="Titre2"/>
      </w:pPr>
      <w:r>
        <w:lastRenderedPageBreak/>
        <w:t>Échelle et classement</w:t>
      </w:r>
    </w:p>
    <w:p w14:paraId="56D36013" w14:textId="77777777" w:rsidR="00EE7B5D" w:rsidRDefault="00285129">
      <w:pPr>
        <w:spacing w:after="80"/>
      </w:pPr>
      <w:r>
        <w:t>Chaque sous-critère technique et le critère environnemental sont appréciés sur une échelle de 0 à 5 : 0, absent ou hors sujet ; 1, insuffisant avec des lacunes importantes ; 2, partiel et peu étayé ; 3, satisfaisant et adapté ; 4, très satisfaisant, précis et bien justifié ; 5, complet, cohérent et particulièrement adapté au besoin. La note de chaque sous-critère est égale à sa note sur 5 divisée par 5, multipliée par son poids dans la note finale. La même conversion s’applique aux 10 points environnementaux.</w:t>
      </w:r>
    </w:p>
    <w:p w14:paraId="061990A6" w14:textId="77777777" w:rsidR="00EE7B5D" w:rsidRDefault="00285129">
      <w:pPr>
        <w:spacing w:after="80"/>
      </w:pPr>
      <w:r>
        <w:t>La note totale sur 100 est la somme des notes économique, technique et environnementale. Les calculs sont effectués sans arrondi intermédiaire ; la note finale est affichée à deux décimales. Les offres sont classées par note décroissante. En cas d’égalité, la meilleure note technique départage les offres, puis la note économique, puis la note environnementale.</w:t>
      </w:r>
    </w:p>
    <w:p w14:paraId="1DCED852" w14:textId="77777777" w:rsidR="00EE7B5D" w:rsidRDefault="00285129">
      <w:pPr>
        <w:pStyle w:val="Titre1"/>
      </w:pPr>
      <w:r>
        <w:t>Article 11 Négociation et audition</w:t>
      </w:r>
    </w:p>
    <w:p w14:paraId="234D751E" w14:textId="77777777" w:rsidR="00EE7B5D" w:rsidRDefault="00285129" w:rsidP="009473B9">
      <w:pPr>
        <w:spacing w:after="80"/>
        <w:jc w:val="both"/>
      </w:pPr>
      <w:r w:rsidRPr="005210FF">
        <w:t>Si l’acheteur engage une négociation, il invite les trois candidats ayant présenté les offres les mieux classées après une première analyse selon les critères du présent RC. Si moins de trois offres peuvent être admises, il invite tous les candidats concernés. L</w:t>
      </w:r>
      <w:r>
        <w:t>es égalités au rang de sélection sont départagées selon l’article 10. Les offres inappropriées et les offres anormalement basses rejetées ne sont pas admises à négocier.</w:t>
      </w:r>
    </w:p>
    <w:p w14:paraId="6D92C3A2" w14:textId="77777777" w:rsidR="00EE7B5D" w:rsidRDefault="00285129" w:rsidP="009473B9">
      <w:pPr>
        <w:spacing w:after="80"/>
        <w:jc w:val="both"/>
      </w:pPr>
      <w:r>
        <w:t>La négociation peut porter sur les prix, la décomposition financière, les moyens, la méthode, le calendrier et les conditions d’exécution compatibles avec le DCE. Elle ne modifie ni l’objet, ni les exigences essentielles, ni les critères et pondérations. Les échanges sont conduits sur AWS ou par une audition dont les conditions et la durée sont identiques pour les candidats invités. Une audition peut être organisée en visioconférence, avec une durée indicative de 45 minutes : 20 minutes de présentation et 25 minutes d’échanges. Elle ne constitue pas un critère autonome de notation.</w:t>
      </w:r>
    </w:p>
    <w:p w14:paraId="3267FF7C" w14:textId="77777777" w:rsidR="00EE7B5D" w:rsidRDefault="00285129" w:rsidP="009473B9">
      <w:pPr>
        <w:spacing w:after="80"/>
        <w:jc w:val="both"/>
      </w:pPr>
      <w:r>
        <w:t>Les éléments susceptibles de modifier l’offre sont confirmés par écrit. Une même échéance de remise des offres finales est communiquée aux candidats concernés. Le classement final applique les mêmes critères. Sans offre finale remise dans le délai, la dernière offre écrite valable du candidat demeure prise en compte, sous réserve de sa conformité. L’acheteur peut attribuer sur les offres initiales sans négociation ; les candidats présentent donc d’emblée leur meilleure offre.</w:t>
      </w:r>
    </w:p>
    <w:p w14:paraId="5AC10599" w14:textId="77777777" w:rsidR="00EE7B5D" w:rsidRDefault="00285129" w:rsidP="009473B9">
      <w:pPr>
        <w:pStyle w:val="Titre1"/>
        <w:jc w:val="both"/>
      </w:pPr>
      <w:r>
        <w:t>Article 12 Attribution et obligations contractuelles</w:t>
      </w:r>
    </w:p>
    <w:p w14:paraId="3A009859" w14:textId="77777777" w:rsidR="00EE7B5D" w:rsidRDefault="00285129" w:rsidP="009473B9">
      <w:pPr>
        <w:spacing w:after="80"/>
        <w:jc w:val="both"/>
      </w:pPr>
      <w:r>
        <w:t>Le candidat pressenti produit, dans le délai fixé par l’acheteur, les justificatifs réglementaires de sa situation, les pouvoirs de signature et les attestations demandées. S’il ne les produit pas ou relève d’une exclusion, le candidat suivant peut être sollicité. La mise au point ne peut modifier les caractéristiques substantielles du marché ou de l’offre. Le marché est signé avant notification par une personne habilitée ; les modalités de signature sont précisées sur AWS. Une signature électronique respecte les exigences réglementaires applicables.</w:t>
      </w:r>
    </w:p>
    <w:p w14:paraId="43E15909" w14:textId="77777777" w:rsidR="00EE7B5D" w:rsidRDefault="00285129" w:rsidP="009473B9">
      <w:pPr>
        <w:spacing w:after="80"/>
        <w:jc w:val="both"/>
      </w:pPr>
      <w:r>
        <w:t xml:space="preserve">Les règles d’exécution, d’assurance, de sous-traitance, de propriété intellectuelle, de confidentialité, de données personnelles, de paiement, de pénalités et de résiliation sont exclusivement celles du CCP, de l’acte d’engagement et des pièces contractuelles. Le présent RC n’ajoute ni formule de pénalité, ni délai de paiement, ni obligation d’insertion chiffrée. Les engagements retenus du mémoire deviennent </w:t>
      </w:r>
      <w:r>
        <w:lastRenderedPageBreak/>
        <w:t>contractuels dans l’ordre de priorité prévu au CCP. La notification engage le forfait ; les prestations variables nécessitent les bons de commande du CRT.</w:t>
      </w:r>
    </w:p>
    <w:p w14:paraId="37218BC8" w14:textId="77777777" w:rsidR="00EE7B5D" w:rsidRDefault="00285129" w:rsidP="009473B9">
      <w:pPr>
        <w:spacing w:after="80"/>
        <w:jc w:val="both"/>
      </w:pPr>
      <w:r>
        <w:t>Avant la signature du marché, l’acheteur peut déclarer la procédure sans suite pour un motif d’intérêt général, notamment lorsque les financements nécessaires à la réalisation de l’opération ne sont pas obtenus ou sont insuffisants. Il communique dans les plus brefs délais aux opérateurs économiques ayant participé à la procédure les motifs de cette décision dans les conditions des articles R. 2185-1 et R. 2185-2 du code de la commande publique.</w:t>
      </w:r>
    </w:p>
    <w:p w14:paraId="1CFC4582" w14:textId="77777777" w:rsidR="00EE7B5D" w:rsidRDefault="00285129" w:rsidP="009473B9">
      <w:pPr>
        <w:pStyle w:val="Titre1"/>
        <w:jc w:val="both"/>
      </w:pPr>
      <w:r>
        <w:t>Article 13 Voies de recours</w:t>
      </w:r>
    </w:p>
    <w:p w14:paraId="15035B81" w14:textId="77777777" w:rsidR="00EE7B5D" w:rsidRDefault="00285129" w:rsidP="009473B9">
      <w:pPr>
        <w:spacing w:after="80"/>
        <w:jc w:val="both"/>
      </w:pPr>
      <w:r>
        <w:t>L’instance compétente est le tribunal administratif de La Réunion, situé à Saint-Denis : 27 rue Félix Guyon, CS 61107, 97404 Saint-Denis Cedex. Téléphone : 02 62 92 43 60. Courriel : greffe.ta-reunion@juradm.fr. Les demandes d’information relatives aux recours peuvent également être adressées au service commande publique de l’acheteur via AWS.</w:t>
      </w:r>
    </w:p>
    <w:p w14:paraId="3CDA1E15" w14:textId="77777777" w:rsidR="00EE7B5D" w:rsidRDefault="00285129" w:rsidP="009473B9">
      <w:pPr>
        <w:spacing w:after="80"/>
        <w:jc w:val="both"/>
      </w:pPr>
      <w:r>
        <w:t>Les voies de recours comprennent le référé précontractuel avant signature, dans les conditions des articles L. 551-1 et suivants du code de justice administrative ; le référé contractuel dans les conditions et délais des articles L. 551-13 et suivants et R. 551-7 ; ainsi que le recours en contestation de validité du contrat dans les deux mois suivant les mesures de publicité appropriées de sa conclusion.</w:t>
      </w:r>
    </w:p>
    <w:sectPr w:rsidR="00EE7B5D" w:rsidSect="00034616">
      <w:headerReference w:type="default" r:id="rId10"/>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CEF88" w14:textId="77777777" w:rsidR="00EB08DD" w:rsidRDefault="00EB08DD">
      <w:pPr>
        <w:spacing w:after="0" w:line="240" w:lineRule="auto"/>
      </w:pPr>
      <w:r>
        <w:separator/>
      </w:r>
    </w:p>
  </w:endnote>
  <w:endnote w:type="continuationSeparator" w:id="0">
    <w:p w14:paraId="454B528A" w14:textId="77777777" w:rsidR="00EB08DD" w:rsidRDefault="00EB0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Corps CS)">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2040469165"/>
      <w:docPartObj>
        <w:docPartGallery w:val="Page Numbers (Bottom of Page)"/>
        <w:docPartUnique/>
      </w:docPartObj>
    </w:sdtPr>
    <w:sdtEndPr>
      <w:rPr>
        <w:rStyle w:val="Numrodepage"/>
      </w:rPr>
    </w:sdtEndPr>
    <w:sdtContent>
      <w:p w14:paraId="7500F00D" w14:textId="77777777" w:rsidR="00F55348" w:rsidRDefault="00F55348" w:rsidP="00C57A8F">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40061849" w14:textId="77777777" w:rsidR="00F55348" w:rsidRDefault="00F55348" w:rsidP="00F5534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2100597104"/>
      <w:docPartObj>
        <w:docPartGallery w:val="Page Numbers (Bottom of Page)"/>
        <w:docPartUnique/>
      </w:docPartObj>
    </w:sdtPr>
    <w:sdtEndPr>
      <w:rPr>
        <w:rStyle w:val="Numrodepage"/>
      </w:rPr>
    </w:sdtEndPr>
    <w:sdtContent>
      <w:p w14:paraId="2736155B" w14:textId="77777777" w:rsidR="00F55348" w:rsidRDefault="00F55348" w:rsidP="00C57A8F">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w:t>
        </w:r>
        <w:r>
          <w:rPr>
            <w:rStyle w:val="Numrodepage"/>
          </w:rPr>
          <w:fldChar w:fldCharType="end"/>
        </w:r>
      </w:p>
    </w:sdtContent>
  </w:sdt>
  <w:p w14:paraId="60DDFF53" w14:textId="77777777" w:rsidR="00494DC2" w:rsidRDefault="00494DC2" w:rsidP="00F55348">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9638E" w14:textId="77777777" w:rsidR="00EB08DD" w:rsidRDefault="00EB08DD">
      <w:pPr>
        <w:spacing w:after="0" w:line="240" w:lineRule="auto"/>
      </w:pPr>
      <w:r>
        <w:separator/>
      </w:r>
    </w:p>
  </w:footnote>
  <w:footnote w:type="continuationSeparator" w:id="0">
    <w:p w14:paraId="1765A853" w14:textId="77777777" w:rsidR="00EB08DD" w:rsidRDefault="00EB0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F959" w14:textId="77777777" w:rsidR="00494DC2" w:rsidRDefault="00494D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CB52731"/>
    <w:multiLevelType w:val="multilevel"/>
    <w:tmpl w:val="6AC0AE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B0E1543"/>
    <w:multiLevelType w:val="multilevel"/>
    <w:tmpl w:val="B8D8A3F6"/>
    <w:lvl w:ilvl="0">
      <w:start w:val="1"/>
      <w:numFmt w:val="decimal"/>
      <w:pStyle w:val="Listepuces"/>
      <w:lvlText w:val="Article %1."/>
      <w:lvlJc w:val="left"/>
      <w:pPr>
        <w:ind w:left="170" w:hanging="17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none"/>
      </w:rPr>
    </w:lvl>
    <w:lvl w:ilvl="4">
      <w:start w:val="1"/>
      <w:numFmt w:val="decimal"/>
      <w:lvlText w:val="%1.%2.%3.%4.%5."/>
      <w:lvlJc w:val="left"/>
      <w:pPr>
        <w:ind w:left="1588" w:hanging="1588"/>
      </w:pPr>
      <w:rPr>
        <w:rFonts w:ascii="Calibri" w:hAnsi="Calibri" w:hint="default"/>
        <w:b w:val="0"/>
        <w:i/>
        <w:color w:val="auto"/>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12E3625"/>
    <w:multiLevelType w:val="multilevel"/>
    <w:tmpl w:val="348C3346"/>
    <w:lvl w:ilvl="0">
      <w:start w:val="1"/>
      <w:numFmt w:val="decimal"/>
      <w:lvlText w:val="Article %1."/>
      <w:lvlJc w:val="left"/>
      <w:pPr>
        <w:ind w:left="284" w:hanging="284"/>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none"/>
      </w:rPr>
    </w:lvl>
    <w:lvl w:ilvl="4">
      <w:start w:val="1"/>
      <w:numFmt w:val="decimal"/>
      <w:lvlText w:val="%1.%2.%3.%4.%5."/>
      <w:lvlJc w:val="left"/>
      <w:pPr>
        <w:ind w:left="1588" w:hanging="1588"/>
      </w:pPr>
      <w:rPr>
        <w:rFonts w:ascii="Calibri" w:hAnsi="Calibri" w:hint="default"/>
        <w:b w:val="0"/>
        <w:i/>
        <w:color w:val="auto"/>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0DE1695"/>
    <w:multiLevelType w:val="multilevel"/>
    <w:tmpl w:val="867A8592"/>
    <w:lvl w:ilvl="0">
      <w:start w:val="1"/>
      <w:numFmt w:val="decimal"/>
      <w:lvlText w:val="Article %1."/>
      <w:lvlJc w:val="left"/>
      <w:pPr>
        <w:ind w:left="360" w:hanging="36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single"/>
      </w:rPr>
    </w:lvl>
    <w:lvl w:ilvl="4">
      <w:start w:val="1"/>
      <w:numFmt w:val="decimal"/>
      <w:lvlText w:val="%1.%2.%3.%4.%5."/>
      <w:lvlJc w:val="left"/>
      <w:pPr>
        <w:ind w:left="1588" w:hanging="1588"/>
      </w:pPr>
      <w:rPr>
        <w:rFonts w:ascii="Calibri" w:hAnsi="Calibri" w:hint="default"/>
        <w:b w:val="0"/>
        <w:i/>
        <w:color w:val="4BACC6" w:themeColor="accent5"/>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03D4BEC"/>
    <w:multiLevelType w:val="multilevel"/>
    <w:tmpl w:val="66EE28BA"/>
    <w:lvl w:ilvl="0">
      <w:start w:val="1"/>
      <w:numFmt w:val="decimal"/>
      <w:lvlText w:val="Article %1."/>
      <w:lvlJc w:val="left"/>
      <w:pPr>
        <w:ind w:left="360" w:hanging="36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none"/>
      </w:rPr>
    </w:lvl>
    <w:lvl w:ilvl="4">
      <w:start w:val="1"/>
      <w:numFmt w:val="decimal"/>
      <w:lvlText w:val="%1.%2.%3.%4.%5."/>
      <w:lvlJc w:val="left"/>
      <w:pPr>
        <w:ind w:left="1588" w:hanging="1588"/>
      </w:pPr>
      <w:rPr>
        <w:rFonts w:ascii="Calibri" w:hAnsi="Calibri" w:hint="default"/>
        <w:b w:val="0"/>
        <w:i/>
        <w:color w:val="auto"/>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32401C0"/>
    <w:multiLevelType w:val="multilevel"/>
    <w:tmpl w:val="FBC8D4F0"/>
    <w:lvl w:ilvl="0">
      <w:start w:val="1"/>
      <w:numFmt w:val="decimal"/>
      <w:lvlText w:val="Article %1."/>
      <w:lvlJc w:val="left"/>
      <w:pPr>
        <w:ind w:left="360" w:hanging="36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single"/>
      </w:rPr>
    </w:lvl>
    <w:lvl w:ilvl="4">
      <w:start w:val="1"/>
      <w:numFmt w:val="decimal"/>
      <w:lvlText w:val="%1.%2.%3.%4.%5."/>
      <w:lvlJc w:val="left"/>
      <w:pPr>
        <w:ind w:left="1588" w:hanging="1588"/>
      </w:pPr>
      <w:rPr>
        <w:rFonts w:ascii="Calibri" w:hAnsi="Calibri" w:hint="default"/>
        <w:b w:val="0"/>
        <w:i/>
        <w:color w:val="4BACC6" w:themeColor="accent5"/>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73037CE"/>
    <w:multiLevelType w:val="multilevel"/>
    <w:tmpl w:val="040C001F"/>
    <w:lvl w:ilvl="0">
      <w:start w:val="1"/>
      <w:numFmt w:val="decimal"/>
      <w:pStyle w:val="ListBullet8"/>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2B3EEC"/>
    <w:multiLevelType w:val="multilevel"/>
    <w:tmpl w:val="A67C85CC"/>
    <w:lvl w:ilvl="0">
      <w:start w:val="1"/>
      <w:numFmt w:val="decimal"/>
      <w:lvlText w:val="Article %1."/>
      <w:lvlJc w:val="left"/>
      <w:pPr>
        <w:ind w:left="170" w:hanging="17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none"/>
      </w:rPr>
    </w:lvl>
    <w:lvl w:ilvl="4">
      <w:start w:val="1"/>
      <w:numFmt w:val="decimal"/>
      <w:lvlText w:val="%1.%2.%3.%4.%5."/>
      <w:lvlJc w:val="left"/>
      <w:pPr>
        <w:ind w:left="1588" w:hanging="1588"/>
      </w:pPr>
      <w:rPr>
        <w:rFonts w:ascii="Calibri" w:hAnsi="Calibri" w:hint="default"/>
        <w:b w:val="0"/>
        <w:i/>
        <w:color w:val="auto"/>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B332E9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4B445E"/>
    <w:multiLevelType w:val="hybridMultilevel"/>
    <w:tmpl w:val="0F8482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BFD5B53"/>
    <w:multiLevelType w:val="multilevel"/>
    <w:tmpl w:val="8FD2E644"/>
    <w:lvl w:ilvl="0">
      <w:start w:val="1"/>
      <w:numFmt w:val="decimal"/>
      <w:lvlText w:val="Article %1."/>
      <w:lvlJc w:val="left"/>
      <w:pPr>
        <w:ind w:left="360" w:hanging="36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val="0"/>
        <w:i/>
        <w:sz w:val="22"/>
      </w:rPr>
    </w:lvl>
    <w:lvl w:ilvl="3">
      <w:start w:val="1"/>
      <w:numFmt w:val="decimal"/>
      <w:lvlText w:val="%1.%2.%3.%4. "/>
      <w:lvlJc w:val="left"/>
      <w:pPr>
        <w:ind w:left="1440" w:hanging="1156"/>
      </w:pPr>
      <w:rPr>
        <w:rFonts w:ascii="Calibri" w:hAnsi="Calibri" w:hint="default"/>
        <w:b w:val="0"/>
        <w:i/>
        <w:sz w:val="22"/>
        <w:u w:val="single"/>
      </w:rPr>
    </w:lvl>
    <w:lvl w:ilvl="4">
      <w:start w:val="1"/>
      <w:numFmt w:val="decimal"/>
      <w:lvlText w:val="%1.%2.%3.%4.%5."/>
      <w:lvlJc w:val="left"/>
      <w:pPr>
        <w:ind w:left="1588" w:hanging="1588"/>
      </w:pPr>
      <w:rPr>
        <w:rFonts w:ascii="Calibri" w:hAnsi="Calibri" w:hint="default"/>
        <w:b w:val="0"/>
        <w:i/>
        <w:color w:val="4BACC6" w:themeColor="accent5"/>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D1260EB"/>
    <w:multiLevelType w:val="multilevel"/>
    <w:tmpl w:val="A8AC44D6"/>
    <w:lvl w:ilvl="0">
      <w:start w:val="1"/>
      <w:numFmt w:val="decimal"/>
      <w:lvlText w:val="Article %1."/>
      <w:lvlJc w:val="left"/>
      <w:pPr>
        <w:ind w:left="360" w:hanging="360"/>
      </w:pPr>
      <w:rPr>
        <w:rFonts w:ascii="Calibri" w:hAnsi="Calibri" w:hint="default"/>
        <w:b/>
        <w:i w:val="0"/>
        <w:sz w:val="24"/>
      </w:rPr>
    </w:lvl>
    <w:lvl w:ilvl="1">
      <w:start w:val="1"/>
      <w:numFmt w:val="decimal"/>
      <w:lvlText w:val="%1.%2. "/>
      <w:lvlJc w:val="left"/>
      <w:pPr>
        <w:ind w:left="720" w:hanging="607"/>
      </w:pPr>
      <w:rPr>
        <w:rFonts w:ascii="Calibri" w:hAnsi="Calibri" w:hint="default"/>
        <w:sz w:val="24"/>
      </w:rPr>
    </w:lvl>
    <w:lvl w:ilvl="2">
      <w:start w:val="1"/>
      <w:numFmt w:val="decimal"/>
      <w:lvlText w:val="%1.%2.%3."/>
      <w:lvlJc w:val="left"/>
      <w:pPr>
        <w:ind w:left="1080" w:hanging="910"/>
      </w:pPr>
      <w:rPr>
        <w:rFonts w:ascii="Calibri" w:hAnsi="Calibri" w:hint="default"/>
        <w:b/>
        <w:i/>
        <w:sz w:val="22"/>
      </w:rPr>
    </w:lvl>
    <w:lvl w:ilvl="3">
      <w:start w:val="1"/>
      <w:numFmt w:val="decimal"/>
      <w:lvlText w:val="%1.%2.%3.%4. "/>
      <w:lvlJc w:val="left"/>
      <w:pPr>
        <w:ind w:left="1440" w:hanging="1156"/>
      </w:pPr>
      <w:rPr>
        <w:rFonts w:ascii="Calibri" w:hAnsi="Calibri" w:hint="default"/>
        <w:b w:val="0"/>
        <w:i/>
        <w:sz w:val="22"/>
        <w:u w:val="none"/>
      </w:rPr>
    </w:lvl>
    <w:lvl w:ilvl="4">
      <w:start w:val="1"/>
      <w:numFmt w:val="decimal"/>
      <w:lvlText w:val="%1.%2.%3.%4.%5."/>
      <w:lvlJc w:val="left"/>
      <w:pPr>
        <w:ind w:left="1588" w:hanging="1588"/>
      </w:pPr>
      <w:rPr>
        <w:rFonts w:ascii="Calibri" w:hAnsi="Calibri" w:hint="default"/>
        <w:b w:val="0"/>
        <w:i/>
        <w:color w:val="4BACC6" w:themeColor="accent5"/>
        <w:sz w:val="20"/>
      </w:rPr>
    </w:lvl>
    <w:lvl w:ilvl="5">
      <w:start w:val="1"/>
      <w:numFmt w:val="decimal"/>
      <w:lvlText w:val="%1.%2.%3.%4.%5.%6."/>
      <w:lvlJc w:val="left"/>
      <w:pPr>
        <w:ind w:left="2160" w:hanging="1876"/>
      </w:pPr>
      <w:rPr>
        <w:rFonts w:ascii="Calibri" w:hAnsi="Calibri" w:hint="default"/>
        <w:b w:val="0"/>
        <w:i/>
        <w:sz w:val="20"/>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63007891">
    <w:abstractNumId w:val="10"/>
    <w:lvlOverride w:ilvl="0">
      <w:startOverride w:val="1"/>
    </w:lvlOverride>
  </w:num>
  <w:num w:numId="2" w16cid:durableId="1575162373">
    <w:abstractNumId w:val="18"/>
    <w:lvlOverride w:ilvl="0">
      <w:startOverride w:val="1"/>
    </w:lvlOverride>
  </w:num>
  <w:num w:numId="3" w16cid:durableId="1669744897">
    <w:abstractNumId w:val="18"/>
    <w:lvlOverride w:ilvl="0">
      <w:startOverride w:val="1"/>
    </w:lvlOverride>
  </w:num>
  <w:num w:numId="4" w16cid:durableId="1477141112">
    <w:abstractNumId w:val="18"/>
    <w:lvlOverride w:ilvl="0">
      <w:startOverride w:val="1"/>
    </w:lvlOverride>
  </w:num>
  <w:num w:numId="5" w16cid:durableId="1899169070">
    <w:abstractNumId w:val="18"/>
    <w:lvlOverride w:ilvl="0">
      <w:startOverride w:val="1"/>
    </w:lvlOverride>
  </w:num>
  <w:num w:numId="6" w16cid:durableId="228081473">
    <w:abstractNumId w:val="18"/>
    <w:lvlOverride w:ilvl="0">
      <w:startOverride w:val="1"/>
    </w:lvlOverride>
  </w:num>
  <w:num w:numId="7" w16cid:durableId="581262613">
    <w:abstractNumId w:val="18"/>
    <w:lvlOverride w:ilvl="0">
      <w:startOverride w:val="1"/>
    </w:lvlOverride>
  </w:num>
  <w:num w:numId="8" w16cid:durableId="468671367">
    <w:abstractNumId w:val="15"/>
    <w:lvlOverride w:ilvl="0">
      <w:startOverride w:val="1"/>
    </w:lvlOverride>
  </w:num>
  <w:num w:numId="9" w16cid:durableId="1350763357">
    <w:abstractNumId w:val="15"/>
    <w:lvlOverride w:ilvl="0">
      <w:startOverride w:val="1"/>
    </w:lvlOverride>
  </w:num>
  <w:num w:numId="10" w16cid:durableId="1661695798">
    <w:abstractNumId w:val="15"/>
    <w:lvlOverride w:ilvl="0">
      <w:startOverride w:val="1"/>
    </w:lvlOverride>
  </w:num>
  <w:num w:numId="11" w16cid:durableId="195197273">
    <w:abstractNumId w:val="15"/>
    <w:lvlOverride w:ilvl="0">
      <w:startOverride w:val="1"/>
    </w:lvlOverride>
  </w:num>
  <w:num w:numId="12" w16cid:durableId="1455175438">
    <w:abstractNumId w:val="15"/>
    <w:lvlOverride w:ilvl="0">
      <w:startOverride w:val="1"/>
    </w:lvlOverride>
  </w:num>
  <w:num w:numId="13" w16cid:durableId="1134909267">
    <w:abstractNumId w:val="15"/>
    <w:lvlOverride w:ilvl="0">
      <w:startOverride w:val="1"/>
    </w:lvlOverride>
  </w:num>
  <w:num w:numId="14" w16cid:durableId="1353847819">
    <w:abstractNumId w:val="15"/>
    <w:lvlOverride w:ilvl="0">
      <w:startOverride w:val="1"/>
    </w:lvlOverride>
  </w:num>
  <w:num w:numId="15" w16cid:durableId="73821446">
    <w:abstractNumId w:val="18"/>
    <w:lvlOverride w:ilvl="0">
      <w:startOverride w:val="1"/>
    </w:lvlOverride>
  </w:num>
  <w:num w:numId="16" w16cid:durableId="202602931">
    <w:abstractNumId w:val="18"/>
    <w:lvlOverride w:ilvl="0">
      <w:startOverride w:val="1"/>
    </w:lvlOverride>
  </w:num>
  <w:num w:numId="17" w16cid:durableId="1150319389">
    <w:abstractNumId w:val="18"/>
    <w:lvlOverride w:ilvl="0">
      <w:startOverride w:val="1"/>
    </w:lvlOverride>
  </w:num>
  <w:num w:numId="18" w16cid:durableId="1972175601">
    <w:abstractNumId w:val="18"/>
    <w:lvlOverride w:ilvl="0">
      <w:startOverride w:val="1"/>
    </w:lvlOverride>
  </w:num>
  <w:num w:numId="19" w16cid:durableId="625621766">
    <w:abstractNumId w:val="18"/>
    <w:lvlOverride w:ilvl="0">
      <w:startOverride w:val="1"/>
    </w:lvlOverride>
  </w:num>
  <w:num w:numId="20" w16cid:durableId="1339695754">
    <w:abstractNumId w:val="18"/>
    <w:lvlOverride w:ilvl="0">
      <w:startOverride w:val="1"/>
    </w:lvlOverride>
  </w:num>
  <w:num w:numId="21" w16cid:durableId="996615601">
    <w:abstractNumId w:val="18"/>
    <w:lvlOverride w:ilvl="0">
      <w:startOverride w:val="1"/>
    </w:lvlOverride>
  </w:num>
  <w:num w:numId="22" w16cid:durableId="1859537031">
    <w:abstractNumId w:val="15"/>
    <w:lvlOverride w:ilvl="0">
      <w:startOverride w:val="1"/>
    </w:lvlOverride>
  </w:num>
  <w:num w:numId="23" w16cid:durableId="1837114119">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D94"/>
    <w:rsid w:val="00030631"/>
    <w:rsid w:val="00034616"/>
    <w:rsid w:val="00057BA3"/>
    <w:rsid w:val="0006063C"/>
    <w:rsid w:val="00063AC7"/>
    <w:rsid w:val="000745E1"/>
    <w:rsid w:val="00076406"/>
    <w:rsid w:val="000829E6"/>
    <w:rsid w:val="000832AC"/>
    <w:rsid w:val="000A61E9"/>
    <w:rsid w:val="000E229F"/>
    <w:rsid w:val="000F7091"/>
    <w:rsid w:val="001105B9"/>
    <w:rsid w:val="0015074B"/>
    <w:rsid w:val="00157ED9"/>
    <w:rsid w:val="00182B1F"/>
    <w:rsid w:val="001B0F6C"/>
    <w:rsid w:val="001B7B3D"/>
    <w:rsid w:val="001D6F18"/>
    <w:rsid w:val="001F0632"/>
    <w:rsid w:val="00207E76"/>
    <w:rsid w:val="0022460C"/>
    <w:rsid w:val="00265CA9"/>
    <w:rsid w:val="00266611"/>
    <w:rsid w:val="002772B4"/>
    <w:rsid w:val="00285129"/>
    <w:rsid w:val="0029639D"/>
    <w:rsid w:val="002B49D5"/>
    <w:rsid w:val="002C1213"/>
    <w:rsid w:val="002F2CB1"/>
    <w:rsid w:val="003122F2"/>
    <w:rsid w:val="00326862"/>
    <w:rsid w:val="00326F90"/>
    <w:rsid w:val="00376DBA"/>
    <w:rsid w:val="00380D9C"/>
    <w:rsid w:val="00383DC1"/>
    <w:rsid w:val="003B391A"/>
    <w:rsid w:val="003B733E"/>
    <w:rsid w:val="003E7746"/>
    <w:rsid w:val="003F6129"/>
    <w:rsid w:val="0040394F"/>
    <w:rsid w:val="00434D2B"/>
    <w:rsid w:val="00494DC2"/>
    <w:rsid w:val="004C465B"/>
    <w:rsid w:val="004F503C"/>
    <w:rsid w:val="00511407"/>
    <w:rsid w:val="00514518"/>
    <w:rsid w:val="00515902"/>
    <w:rsid w:val="00520A37"/>
    <w:rsid w:val="005210FF"/>
    <w:rsid w:val="00541A42"/>
    <w:rsid w:val="00543B3D"/>
    <w:rsid w:val="005441BF"/>
    <w:rsid w:val="00566243"/>
    <w:rsid w:val="005B754F"/>
    <w:rsid w:val="005C7477"/>
    <w:rsid w:val="005E32B9"/>
    <w:rsid w:val="00603019"/>
    <w:rsid w:val="00604CAE"/>
    <w:rsid w:val="006370C5"/>
    <w:rsid w:val="0065798F"/>
    <w:rsid w:val="00666709"/>
    <w:rsid w:val="006E60A3"/>
    <w:rsid w:val="006F72F9"/>
    <w:rsid w:val="00700412"/>
    <w:rsid w:val="007007AD"/>
    <w:rsid w:val="0075158B"/>
    <w:rsid w:val="00755E52"/>
    <w:rsid w:val="00761A85"/>
    <w:rsid w:val="007706B7"/>
    <w:rsid w:val="007712F3"/>
    <w:rsid w:val="007A0AAC"/>
    <w:rsid w:val="007B0E10"/>
    <w:rsid w:val="007D63B6"/>
    <w:rsid w:val="007D6E8D"/>
    <w:rsid w:val="008110A9"/>
    <w:rsid w:val="00835C79"/>
    <w:rsid w:val="00854851"/>
    <w:rsid w:val="00896753"/>
    <w:rsid w:val="008A0161"/>
    <w:rsid w:val="008A5AEE"/>
    <w:rsid w:val="008B1A97"/>
    <w:rsid w:val="008B6951"/>
    <w:rsid w:val="008F6B8D"/>
    <w:rsid w:val="009048A8"/>
    <w:rsid w:val="00906F05"/>
    <w:rsid w:val="00907DC6"/>
    <w:rsid w:val="00942394"/>
    <w:rsid w:val="009473B9"/>
    <w:rsid w:val="00976875"/>
    <w:rsid w:val="009C1F5F"/>
    <w:rsid w:val="00A17CF6"/>
    <w:rsid w:val="00A23533"/>
    <w:rsid w:val="00A36B48"/>
    <w:rsid w:val="00A8454F"/>
    <w:rsid w:val="00A93957"/>
    <w:rsid w:val="00A94636"/>
    <w:rsid w:val="00AA1D8D"/>
    <w:rsid w:val="00AA2A51"/>
    <w:rsid w:val="00AF441D"/>
    <w:rsid w:val="00B3608F"/>
    <w:rsid w:val="00B41B74"/>
    <w:rsid w:val="00B47730"/>
    <w:rsid w:val="00B911C0"/>
    <w:rsid w:val="00BB0448"/>
    <w:rsid w:val="00BB30D4"/>
    <w:rsid w:val="00BC2B59"/>
    <w:rsid w:val="00BC5AB5"/>
    <w:rsid w:val="00BF1718"/>
    <w:rsid w:val="00BF6AC9"/>
    <w:rsid w:val="00C0365E"/>
    <w:rsid w:val="00C34CC6"/>
    <w:rsid w:val="00C3742C"/>
    <w:rsid w:val="00C4075F"/>
    <w:rsid w:val="00C4732D"/>
    <w:rsid w:val="00C61EA4"/>
    <w:rsid w:val="00CB0664"/>
    <w:rsid w:val="00CD3FA2"/>
    <w:rsid w:val="00CE546A"/>
    <w:rsid w:val="00CF5DFA"/>
    <w:rsid w:val="00D107D9"/>
    <w:rsid w:val="00D45A85"/>
    <w:rsid w:val="00D52F18"/>
    <w:rsid w:val="00D536AE"/>
    <w:rsid w:val="00D77A02"/>
    <w:rsid w:val="00D8741D"/>
    <w:rsid w:val="00DD479B"/>
    <w:rsid w:val="00DE109F"/>
    <w:rsid w:val="00DE6E08"/>
    <w:rsid w:val="00E075FA"/>
    <w:rsid w:val="00E46DDC"/>
    <w:rsid w:val="00E5211C"/>
    <w:rsid w:val="00E65338"/>
    <w:rsid w:val="00E74943"/>
    <w:rsid w:val="00EA2405"/>
    <w:rsid w:val="00EB08DD"/>
    <w:rsid w:val="00EC46F9"/>
    <w:rsid w:val="00EE7B5D"/>
    <w:rsid w:val="00EF45BF"/>
    <w:rsid w:val="00F257A4"/>
    <w:rsid w:val="00F26454"/>
    <w:rsid w:val="00F55348"/>
    <w:rsid w:val="00F67A11"/>
    <w:rsid w:val="00FA646F"/>
    <w:rsid w:val="00FB03DF"/>
    <w:rsid w:val="00FC693F"/>
    <w:rsid w:val="00FD1073"/>
    <w:rsid w:val="00FE3360"/>
    <w:rsid w:val="00FF19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3D748F"/>
  <w14:defaultImageDpi w14:val="300"/>
  <w15:docId w15:val="{9AC6D441-1498-7444-84C0-DC17B1DCA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5E"/>
    <w:pPr>
      <w:spacing w:after="120"/>
    </w:pPr>
    <w:rPr>
      <w:rFonts w:asciiTheme="majorHAnsi" w:hAnsiTheme="majorHAnsi"/>
      <w:sz w:val="21"/>
    </w:rPr>
  </w:style>
  <w:style w:type="paragraph" w:styleId="Titre1">
    <w:name w:val="heading 1"/>
    <w:basedOn w:val="Paragraphedeliste"/>
    <w:next w:val="Normal"/>
    <w:link w:val="Titre1Car"/>
    <w:uiPriority w:val="9"/>
    <w:qFormat/>
    <w:rsid w:val="00854851"/>
    <w:pPr>
      <w:keepNext/>
      <w:shd w:val="clear" w:color="auto" w:fill="FFC900"/>
      <w:spacing w:before="240" w:after="160" w:line="259" w:lineRule="auto"/>
      <w:ind w:left="0"/>
      <w:contextualSpacing w:val="0"/>
      <w:outlineLvl w:val="0"/>
    </w:pPr>
    <w:rPr>
      <w:rFonts w:eastAsiaTheme="minorHAnsi" w:cs="Arial (Corps CS)"/>
      <w:b/>
      <w:bCs/>
      <w:caps/>
      <w:color w:val="000000"/>
      <w:sz w:val="24"/>
      <w:szCs w:val="24"/>
    </w:rPr>
  </w:style>
  <w:style w:type="paragraph" w:styleId="Titre2">
    <w:name w:val="heading 2"/>
    <w:basedOn w:val="Titre1"/>
    <w:next w:val="Normal"/>
    <w:link w:val="Titre2Car"/>
    <w:uiPriority w:val="9"/>
    <w:unhideWhenUsed/>
    <w:qFormat/>
    <w:rsid w:val="008F6B8D"/>
    <w:pPr>
      <w:shd w:val="clear" w:color="auto" w:fill="auto"/>
      <w:outlineLvl w:val="1"/>
    </w:pPr>
    <w:rPr>
      <w:bCs w:val="0"/>
      <w:caps w:val="0"/>
      <w:smallCaps/>
    </w:rPr>
  </w:style>
  <w:style w:type="paragraph" w:styleId="Titre3">
    <w:name w:val="heading 3"/>
    <w:basedOn w:val="Titre2"/>
    <w:next w:val="Normal"/>
    <w:link w:val="Titre3Car"/>
    <w:uiPriority w:val="9"/>
    <w:unhideWhenUsed/>
    <w:qFormat/>
    <w:rsid w:val="00207E76"/>
    <w:pPr>
      <w:outlineLvl w:val="2"/>
    </w:pPr>
    <w:rPr>
      <w:i/>
      <w:iCs/>
      <w:sz w:val="22"/>
      <w:szCs w:val="22"/>
    </w:rPr>
  </w:style>
  <w:style w:type="paragraph" w:styleId="Titre4">
    <w:name w:val="heading 4"/>
    <w:basedOn w:val="Titre3"/>
    <w:next w:val="Normal"/>
    <w:link w:val="Titre4Car"/>
    <w:uiPriority w:val="9"/>
    <w:unhideWhenUsed/>
    <w:qFormat/>
    <w:rsid w:val="00207E76"/>
    <w:pPr>
      <w:numPr>
        <w:ilvl w:val="3"/>
      </w:numPr>
      <w:outlineLvl w:val="3"/>
    </w:pPr>
    <w:rPr>
      <w:b w:val="0"/>
    </w:rPr>
  </w:style>
  <w:style w:type="paragraph" w:styleId="Titre5">
    <w:name w:val="heading 5"/>
    <w:basedOn w:val="Titre4"/>
    <w:next w:val="Normal"/>
    <w:link w:val="Titre5Car"/>
    <w:uiPriority w:val="9"/>
    <w:unhideWhenUsed/>
    <w:qFormat/>
    <w:rsid w:val="00207E76"/>
    <w:pPr>
      <w:numPr>
        <w:ilvl w:val="4"/>
      </w:numPr>
      <w:outlineLvl w:val="4"/>
    </w:pPr>
    <w:rPr>
      <w:color w:val="auto"/>
      <w:sz w:val="20"/>
      <w:szCs w:val="20"/>
    </w:rPr>
  </w:style>
  <w:style w:type="paragraph" w:styleId="Titre6">
    <w:name w:val="heading 6"/>
    <w:basedOn w:val="Titre5"/>
    <w:next w:val="Normal"/>
    <w:link w:val="Titre6Car"/>
    <w:uiPriority w:val="9"/>
    <w:unhideWhenUsed/>
    <w:qFormat/>
    <w:rsid w:val="00207E76"/>
    <w:pPr>
      <w:numPr>
        <w:ilvl w:val="5"/>
      </w:numPr>
      <w:outlineLvl w:val="5"/>
    </w:pPr>
    <w:rPr>
      <w:u w:val="single"/>
    </w:rPr>
  </w:style>
  <w:style w:type="paragraph" w:styleId="Titre7">
    <w:name w:val="heading 7"/>
    <w:basedOn w:val="Normal"/>
    <w:next w:val="Normal"/>
    <w:link w:val="Titre7Car"/>
    <w:uiPriority w:val="9"/>
    <w:unhideWhenUsed/>
    <w:qFormat/>
    <w:rsid w:val="00FC693F"/>
    <w:pPr>
      <w:keepNext/>
      <w:keepLines/>
      <w:spacing w:before="200" w:after="0"/>
      <w:outlineLvl w:val="6"/>
    </w:pPr>
    <w:rPr>
      <w:rFonts w:eastAsiaTheme="majorEastAsia" w:cstheme="majorBidi"/>
      <w:i/>
      <w:iCs/>
      <w:color w:val="404040" w:themeColor="text1" w:themeTint="BF"/>
    </w:rPr>
  </w:style>
  <w:style w:type="paragraph" w:styleId="Titre8">
    <w:name w:val="heading 8"/>
    <w:basedOn w:val="Normal"/>
    <w:next w:val="Normal"/>
    <w:link w:val="Titre8Car"/>
    <w:uiPriority w:val="9"/>
    <w:unhideWhenUsed/>
    <w:qFormat/>
    <w:rsid w:val="008F6B8D"/>
    <w:pPr>
      <w:keepNext/>
      <w:keepLines/>
      <w:spacing w:before="200" w:after="0"/>
      <w:outlineLvl w:val="7"/>
    </w:pPr>
    <w:rPr>
      <w:rFonts w:eastAsiaTheme="majorEastAsia" w:cstheme="majorBidi"/>
      <w:color w:val="FFC900"/>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eastAsiaTheme="majorEastAsia"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854851"/>
    <w:rPr>
      <w:rFonts w:asciiTheme="majorHAnsi" w:eastAsiaTheme="minorHAnsi" w:hAnsiTheme="majorHAnsi" w:cs="Arial (Corps CS)"/>
      <w:b/>
      <w:bCs/>
      <w:caps/>
      <w:color w:val="000000" w:themeColor="text1"/>
      <w:sz w:val="24"/>
      <w:szCs w:val="24"/>
      <w:shd w:val="clear" w:color="auto" w:fill="FFC900"/>
      <w:lang w:val="fr-FR"/>
    </w:rPr>
  </w:style>
  <w:style w:type="character" w:customStyle="1" w:styleId="Titre2Car">
    <w:name w:val="Titre 2 Car"/>
    <w:basedOn w:val="Policepardfaut"/>
    <w:link w:val="Titre2"/>
    <w:uiPriority w:val="9"/>
    <w:rsid w:val="008F6B8D"/>
    <w:rPr>
      <w:rFonts w:asciiTheme="majorHAnsi" w:eastAsiaTheme="minorHAnsi" w:hAnsiTheme="majorHAnsi" w:cs="Arial (Corps CS)"/>
      <w:b/>
      <w:smallCaps/>
      <w:color w:val="000000" w:themeColor="text1"/>
      <w:sz w:val="24"/>
      <w:szCs w:val="24"/>
      <w:lang w:val="fr-FR"/>
    </w:rPr>
  </w:style>
  <w:style w:type="character" w:customStyle="1" w:styleId="Titre3Car">
    <w:name w:val="Titre 3 Car"/>
    <w:basedOn w:val="Policepardfaut"/>
    <w:link w:val="Titre3"/>
    <w:uiPriority w:val="9"/>
    <w:rsid w:val="009C1F5F"/>
    <w:rPr>
      <w:rFonts w:eastAsiaTheme="minorHAnsi"/>
      <w:i/>
      <w:iCs/>
      <w:lang w:val="fr-FR"/>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eastAsiaTheme="majorEastAsia"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rsid w:val="00FC693F"/>
    <w:pPr>
      <w:ind w:left="720"/>
      <w:contextualSpacing/>
    </w:pPr>
  </w:style>
  <w:style w:type="paragraph" w:styleId="Corpsdetexte">
    <w:name w:val="Body Text"/>
    <w:basedOn w:val="Normal"/>
    <w:link w:val="CorpsdetexteCar"/>
    <w:uiPriority w:val="99"/>
    <w:unhideWhenUsed/>
    <w:rsid w:val="00AA1D8D"/>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rPr>
      <w:rFonts w:ascii="Arial" w:hAnsi="Arial"/>
    </w:rPr>
  </w:style>
  <w:style w:type="paragraph" w:styleId="Listepuces2">
    <w:name w:val="List Bullet 2"/>
    <w:basedOn w:val="Normal"/>
    <w:uiPriority w:val="99"/>
    <w:unhideWhenUsed/>
    <w:rsid w:val="00326F90"/>
    <w:pPr>
      <w:ind w:left="720" w:hanging="360"/>
      <w:contextualSpacing/>
    </w:pPr>
  </w:style>
  <w:style w:type="paragraph" w:styleId="Listepuces3">
    <w:name w:val="List Bullet 3"/>
    <w:basedOn w:val="Normal"/>
    <w:uiPriority w:val="99"/>
    <w:unhideWhenUsed/>
    <w:rsid w:val="00326F90"/>
    <w:pPr>
      <w:ind w:left="720" w:hanging="360"/>
      <w:contextualSpacing/>
    </w:pPr>
  </w:style>
  <w:style w:type="paragraph" w:styleId="Listenumros">
    <w:name w:val="List Number"/>
    <w:basedOn w:val="Normal"/>
    <w:uiPriority w:val="99"/>
    <w:unhideWhenUsed/>
    <w:rsid w:val="00326F90"/>
    <w:pPr>
      <w:ind w:left="720" w:hanging="360"/>
      <w:contextualSpacing/>
    </w:pPr>
  </w:style>
  <w:style w:type="paragraph" w:styleId="Listenumros2">
    <w:name w:val="List Number 2"/>
    <w:basedOn w:val="Normal"/>
    <w:uiPriority w:val="99"/>
    <w:unhideWhenUsed/>
    <w:rsid w:val="0029639D"/>
    <w:pPr>
      <w:ind w:left="720" w:hanging="360"/>
      <w:contextualSpacing/>
    </w:pPr>
  </w:style>
  <w:style w:type="paragraph" w:styleId="Listenumros3">
    <w:name w:val="List Number 3"/>
    <w:basedOn w:val="Normal"/>
    <w:uiPriority w:val="99"/>
    <w:unhideWhenUsed/>
    <w:rsid w:val="0029639D"/>
    <w:pPr>
      <w:ind w:left="720" w:hanging="360"/>
      <w:contextualSpacing/>
    </w:pPr>
  </w:style>
  <w:style w:type="paragraph" w:styleId="Listecontinue">
    <w:name w:val="List Continue"/>
    <w:basedOn w:val="Normal"/>
    <w:uiPriority w:val="99"/>
    <w:unhideWhenUsed/>
    <w:rsid w:val="0029639D"/>
    <w:pPr>
      <w:ind w:left="360"/>
      <w:contextualSpacing/>
    </w:pPr>
  </w:style>
  <w:style w:type="paragraph" w:styleId="Listecontinue2">
    <w:name w:val="List Continue 2"/>
    <w:basedOn w:val="Normal"/>
    <w:uiPriority w:val="99"/>
    <w:unhideWhenUsed/>
    <w:rsid w:val="0029639D"/>
    <w:pPr>
      <w:ind w:left="720"/>
      <w:contextualSpacing/>
    </w:pPr>
  </w:style>
  <w:style w:type="paragraph" w:styleId="Listecontinue3">
    <w:name w:val="List Continue 3"/>
    <w:basedOn w:val="Normal"/>
    <w:uiPriority w:val="99"/>
    <w:unhideWhenUsed/>
    <w:rsid w:val="0029639D"/>
    <w:pPr>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rsid w:val="00700412"/>
    <w:rPr>
      <w:rFonts w:eastAsiaTheme="minorHAnsi"/>
      <w:i/>
      <w:iCs/>
      <w:color w:val="000000" w:themeColor="text1"/>
      <w:lang w:val="fr-FR"/>
    </w:rPr>
  </w:style>
  <w:style w:type="character" w:customStyle="1" w:styleId="Titre5Car">
    <w:name w:val="Titre 5 Car"/>
    <w:basedOn w:val="Policepardfaut"/>
    <w:link w:val="Titre5"/>
    <w:uiPriority w:val="9"/>
    <w:rsid w:val="00700412"/>
    <w:rPr>
      <w:rFonts w:eastAsiaTheme="minorHAnsi"/>
      <w:i/>
      <w:iCs/>
      <w:sz w:val="20"/>
      <w:szCs w:val="20"/>
      <w:lang w:val="fr-FR"/>
    </w:rPr>
  </w:style>
  <w:style w:type="character" w:customStyle="1" w:styleId="Titre6Car">
    <w:name w:val="Titre 6 Car"/>
    <w:basedOn w:val="Policepardfaut"/>
    <w:link w:val="Titre6"/>
    <w:uiPriority w:val="9"/>
    <w:rsid w:val="009C1F5F"/>
    <w:rPr>
      <w:rFonts w:eastAsiaTheme="minorHAnsi"/>
      <w:i/>
      <w:iCs/>
      <w:color w:val="4F81BD" w:themeColor="accent1"/>
      <w:sz w:val="20"/>
      <w:szCs w:val="20"/>
      <w:u w:val="single"/>
      <w:lang w:val="fr-FR"/>
    </w:rPr>
  </w:style>
  <w:style w:type="character" w:customStyle="1" w:styleId="Titre7Car">
    <w:name w:val="Titre 7 Car"/>
    <w:basedOn w:val="Policepardfaut"/>
    <w:link w:val="Titre7"/>
    <w:uiPriority w:val="9"/>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sid w:val="008F6B8D"/>
    <w:rPr>
      <w:rFonts w:asciiTheme="majorHAnsi" w:eastAsiaTheme="majorEastAsia" w:hAnsiTheme="majorHAnsi" w:cstheme="majorBidi"/>
      <w:color w:val="FFC900"/>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istepuces41">
    <w:name w:val="Liste à puces 41"/>
    <w:basedOn w:val="Normal"/>
    <w:pPr>
      <w:ind w:left="720" w:hanging="360"/>
      <w:contextualSpacing/>
    </w:pPr>
  </w:style>
  <w:style w:type="paragraph" w:customStyle="1" w:styleId="Listepuces51">
    <w:name w:val="Liste à puces 51"/>
    <w:basedOn w:val="Normal"/>
    <w:pPr>
      <w:tabs>
        <w:tab w:val="num" w:pos="360"/>
      </w:tabs>
      <w:ind w:left="360" w:hanging="360"/>
      <w:contextualSpacing/>
    </w:pPr>
  </w:style>
  <w:style w:type="paragraph" w:styleId="TM1">
    <w:name w:val="toc 1"/>
    <w:basedOn w:val="Normal"/>
    <w:next w:val="Normal"/>
    <w:autoRedefine/>
    <w:uiPriority w:val="39"/>
    <w:unhideWhenUsed/>
    <w:rsid w:val="00057BA3"/>
    <w:pPr>
      <w:spacing w:after="100"/>
    </w:pPr>
  </w:style>
  <w:style w:type="paragraph" w:styleId="TM2">
    <w:name w:val="toc 2"/>
    <w:basedOn w:val="Normal"/>
    <w:next w:val="Normal"/>
    <w:autoRedefine/>
    <w:uiPriority w:val="39"/>
    <w:unhideWhenUsed/>
    <w:rsid w:val="00057BA3"/>
    <w:pPr>
      <w:spacing w:after="100"/>
      <w:ind w:left="220"/>
    </w:pPr>
  </w:style>
  <w:style w:type="paragraph" w:styleId="TM3">
    <w:name w:val="toc 3"/>
    <w:basedOn w:val="Normal"/>
    <w:next w:val="Normal"/>
    <w:autoRedefine/>
    <w:uiPriority w:val="39"/>
    <w:unhideWhenUsed/>
    <w:rsid w:val="00057BA3"/>
    <w:pPr>
      <w:spacing w:after="100"/>
      <w:ind w:left="440"/>
    </w:pPr>
  </w:style>
  <w:style w:type="paragraph" w:styleId="TM4">
    <w:name w:val="toc 4"/>
    <w:basedOn w:val="Normal"/>
    <w:next w:val="Normal"/>
    <w:autoRedefine/>
    <w:uiPriority w:val="39"/>
    <w:unhideWhenUsed/>
    <w:rsid w:val="00057BA3"/>
    <w:pPr>
      <w:spacing w:after="100" w:line="240" w:lineRule="auto"/>
      <w:ind w:left="720"/>
    </w:pPr>
    <w:rPr>
      <w:sz w:val="24"/>
      <w:szCs w:val="24"/>
      <w:lang w:eastAsia="fr-FR"/>
    </w:rPr>
  </w:style>
  <w:style w:type="paragraph" w:styleId="TM5">
    <w:name w:val="toc 5"/>
    <w:basedOn w:val="Normal"/>
    <w:next w:val="Normal"/>
    <w:autoRedefine/>
    <w:uiPriority w:val="39"/>
    <w:unhideWhenUsed/>
    <w:rsid w:val="00057BA3"/>
    <w:pPr>
      <w:spacing w:after="100" w:line="240" w:lineRule="auto"/>
      <w:ind w:left="960"/>
    </w:pPr>
    <w:rPr>
      <w:sz w:val="24"/>
      <w:szCs w:val="24"/>
      <w:lang w:eastAsia="fr-FR"/>
    </w:rPr>
  </w:style>
  <w:style w:type="paragraph" w:styleId="TM6">
    <w:name w:val="toc 6"/>
    <w:basedOn w:val="Normal"/>
    <w:next w:val="Normal"/>
    <w:autoRedefine/>
    <w:uiPriority w:val="39"/>
    <w:unhideWhenUsed/>
    <w:rsid w:val="00057BA3"/>
    <w:pPr>
      <w:spacing w:after="100" w:line="240" w:lineRule="auto"/>
      <w:ind w:left="1200"/>
    </w:pPr>
    <w:rPr>
      <w:sz w:val="24"/>
      <w:szCs w:val="24"/>
      <w:lang w:eastAsia="fr-FR"/>
    </w:rPr>
  </w:style>
  <w:style w:type="paragraph" w:styleId="TM7">
    <w:name w:val="toc 7"/>
    <w:basedOn w:val="Normal"/>
    <w:next w:val="Normal"/>
    <w:autoRedefine/>
    <w:uiPriority w:val="39"/>
    <w:unhideWhenUsed/>
    <w:rsid w:val="00057BA3"/>
    <w:pPr>
      <w:spacing w:after="100" w:line="240" w:lineRule="auto"/>
      <w:ind w:left="1440"/>
    </w:pPr>
    <w:rPr>
      <w:sz w:val="24"/>
      <w:szCs w:val="24"/>
      <w:lang w:eastAsia="fr-FR"/>
    </w:rPr>
  </w:style>
  <w:style w:type="paragraph" w:styleId="TM8">
    <w:name w:val="toc 8"/>
    <w:basedOn w:val="Normal"/>
    <w:next w:val="Normal"/>
    <w:autoRedefine/>
    <w:uiPriority w:val="39"/>
    <w:unhideWhenUsed/>
    <w:rsid w:val="00057BA3"/>
    <w:pPr>
      <w:spacing w:after="100" w:line="240" w:lineRule="auto"/>
      <w:ind w:left="1680"/>
    </w:pPr>
    <w:rPr>
      <w:sz w:val="24"/>
      <w:szCs w:val="24"/>
      <w:lang w:eastAsia="fr-FR"/>
    </w:rPr>
  </w:style>
  <w:style w:type="paragraph" w:styleId="TM9">
    <w:name w:val="toc 9"/>
    <w:basedOn w:val="Normal"/>
    <w:next w:val="Normal"/>
    <w:autoRedefine/>
    <w:uiPriority w:val="39"/>
    <w:unhideWhenUsed/>
    <w:rsid w:val="00057BA3"/>
    <w:pPr>
      <w:spacing w:after="100" w:line="240" w:lineRule="auto"/>
      <w:ind w:left="1920"/>
    </w:pPr>
    <w:rPr>
      <w:sz w:val="24"/>
      <w:szCs w:val="24"/>
      <w:lang w:eastAsia="fr-FR"/>
    </w:rPr>
  </w:style>
  <w:style w:type="character" w:styleId="Lienhypertexte">
    <w:name w:val="Hyperlink"/>
    <w:basedOn w:val="Policepardfaut"/>
    <w:uiPriority w:val="99"/>
    <w:unhideWhenUsed/>
    <w:rsid w:val="00057BA3"/>
    <w:rPr>
      <w:color w:val="0000FF" w:themeColor="hyperlink"/>
      <w:u w:val="single"/>
    </w:rPr>
  </w:style>
  <w:style w:type="character" w:styleId="Mentionnonrsolue">
    <w:name w:val="Unresolved Mention"/>
    <w:basedOn w:val="Policepardfaut"/>
    <w:uiPriority w:val="99"/>
    <w:semiHidden/>
    <w:unhideWhenUsed/>
    <w:rsid w:val="00057BA3"/>
    <w:rPr>
      <w:color w:val="605E5C"/>
      <w:shd w:val="clear" w:color="auto" w:fill="E1DFDD"/>
    </w:rPr>
  </w:style>
  <w:style w:type="character" w:styleId="Numrodepage">
    <w:name w:val="page number"/>
    <w:basedOn w:val="Policepardfaut"/>
    <w:uiPriority w:val="99"/>
    <w:semiHidden/>
    <w:unhideWhenUsed/>
    <w:rsid w:val="00F55348"/>
  </w:style>
  <w:style w:type="paragraph" w:customStyle="1" w:styleId="OBJET">
    <w:name w:val="OBJET"/>
    <w:basedOn w:val="Paragraphedeliste"/>
    <w:qFormat/>
    <w:rsid w:val="000745E1"/>
    <w:pPr>
      <w:shd w:val="clear" w:color="auto" w:fill="FFC900"/>
      <w:jc w:val="center"/>
    </w:pPr>
    <w:rPr>
      <w:b/>
      <w:bCs/>
      <w:color w:val="000000" w:themeColor="text1"/>
      <w:sz w:val="32"/>
      <w:szCs w:val="32"/>
    </w:rPr>
  </w:style>
  <w:style w:type="paragraph" w:customStyle="1" w:styleId="Rfrence">
    <w:name w:val="Référence"/>
    <w:basedOn w:val="Paragraphedeliste"/>
    <w:qFormat/>
    <w:rsid w:val="00BF6AC9"/>
    <w:pPr>
      <w:jc w:val="center"/>
    </w:pPr>
    <w:rPr>
      <w:b/>
      <w:bCs/>
    </w:rPr>
  </w:style>
  <w:style w:type="paragraph" w:customStyle="1" w:styleId="Texte">
    <w:name w:val="Texte"/>
    <w:basedOn w:val="Paragraphedeliste"/>
    <w:qFormat/>
    <w:rsid w:val="00511407"/>
    <w:pPr>
      <w:jc w:val="right"/>
    </w:pPr>
    <w:rPr>
      <w:b/>
      <w:bCs/>
      <w:i/>
      <w:color w:val="000000" w:themeColor="text1"/>
      <w:sz w:val="20"/>
      <w:szCs w:val="20"/>
    </w:rPr>
  </w:style>
  <w:style w:type="paragraph" w:customStyle="1" w:styleId="NOM">
    <w:name w:val="NOM"/>
    <w:basedOn w:val="Paragraphedeliste"/>
    <w:qFormat/>
    <w:rsid w:val="00854851"/>
    <w:pPr>
      <w:pBdr>
        <w:top w:val="single" w:sz="4" w:space="1" w:color="FFC900"/>
        <w:left w:val="single" w:sz="4" w:space="4" w:color="FFC900"/>
        <w:bottom w:val="single" w:sz="4" w:space="1" w:color="FFC900"/>
        <w:right w:val="single" w:sz="4" w:space="4" w:color="FFC900"/>
      </w:pBdr>
      <w:jc w:val="center"/>
    </w:pPr>
    <w:rPr>
      <w:b/>
      <w:bCs/>
      <w:color w:val="000000" w:themeColor="text1"/>
      <w:sz w:val="28"/>
      <w:szCs w:val="28"/>
    </w:rPr>
  </w:style>
  <w:style w:type="paragraph" w:customStyle="1" w:styleId="Textebas">
    <w:name w:val="Texte bas"/>
    <w:basedOn w:val="Paragraphedeliste"/>
    <w:qFormat/>
    <w:rsid w:val="00854851"/>
    <w:pPr>
      <w:pBdr>
        <w:bottom w:val="single" w:sz="4" w:space="1" w:color="FFC900"/>
      </w:pBdr>
      <w:jc w:val="center"/>
    </w:pPr>
    <w:rPr>
      <w:b/>
      <w:bCs/>
      <w:color w:val="000000" w:themeColor="text1"/>
    </w:rPr>
  </w:style>
  <w:style w:type="paragraph" w:customStyle="1" w:styleId="Listepuces42">
    <w:name w:val="Liste à puces 42"/>
    <w:basedOn w:val="Normal"/>
    <w:pPr>
      <w:ind w:left="720" w:hanging="360"/>
      <w:contextualSpacing/>
    </w:pPr>
  </w:style>
  <w:style w:type="paragraph" w:customStyle="1" w:styleId="Listepuces52">
    <w:name w:val="Liste à puces 52"/>
    <w:basedOn w:val="Normal"/>
    <w:pPr>
      <w:ind w:left="720" w:hanging="360"/>
      <w:contextualSpacing/>
    </w:pPr>
  </w:style>
  <w:style w:type="paragraph" w:customStyle="1" w:styleId="ListBullet6">
    <w:name w:val="List Bullet 6"/>
    <w:basedOn w:val="Normal"/>
    <w:pPr>
      <w:ind w:left="720" w:hanging="360"/>
      <w:contextualSpacing/>
    </w:pPr>
  </w:style>
  <w:style w:type="paragraph" w:customStyle="1" w:styleId="ListBullet7">
    <w:name w:val="List Bullet 7"/>
    <w:basedOn w:val="Normal"/>
    <w:pPr>
      <w:ind w:left="720" w:hanging="360"/>
      <w:contextualSpacing/>
    </w:pPr>
  </w:style>
  <w:style w:type="paragraph" w:customStyle="1" w:styleId="ListBullet8">
    <w:name w:val="List Bullet 8"/>
    <w:basedOn w:val="Normal"/>
    <w:pPr>
      <w:numPr>
        <w:numId w:val="8"/>
      </w:numPr>
      <w:contextualSpacing/>
    </w:pPr>
  </w:style>
  <w:style w:type="paragraph" w:customStyle="1" w:styleId="ListBullet9">
    <w:name w:val="List Bullet 9"/>
    <w:basedOn w:val="Normal"/>
    <w:pPr>
      <w:ind w:left="360" w:hanging="360"/>
      <w:contextualSpacing/>
    </w:pPr>
  </w:style>
  <w:style w:type="character" w:styleId="Marquedecommentaire">
    <w:name w:val="annotation reference"/>
    <w:basedOn w:val="Policepardfaut"/>
    <w:uiPriority w:val="99"/>
    <w:semiHidden/>
    <w:unhideWhenUsed/>
    <w:rsid w:val="0065798F"/>
    <w:rPr>
      <w:sz w:val="16"/>
      <w:szCs w:val="16"/>
    </w:rPr>
  </w:style>
  <w:style w:type="paragraph" w:styleId="Commentaire">
    <w:name w:val="annotation text"/>
    <w:basedOn w:val="Normal"/>
    <w:link w:val="CommentaireCar"/>
    <w:uiPriority w:val="99"/>
    <w:unhideWhenUsed/>
    <w:rsid w:val="0065798F"/>
    <w:pPr>
      <w:spacing w:line="240" w:lineRule="auto"/>
    </w:pPr>
    <w:rPr>
      <w:sz w:val="20"/>
      <w:szCs w:val="20"/>
    </w:rPr>
  </w:style>
  <w:style w:type="character" w:customStyle="1" w:styleId="CommentaireCar">
    <w:name w:val="Commentaire Car"/>
    <w:basedOn w:val="Policepardfaut"/>
    <w:link w:val="Commentaire"/>
    <w:uiPriority w:val="99"/>
    <w:rsid w:val="0065798F"/>
    <w:rPr>
      <w:rFonts w:asciiTheme="majorHAnsi" w:hAnsiTheme="majorHAnsi"/>
      <w:sz w:val="20"/>
      <w:szCs w:val="20"/>
    </w:rPr>
  </w:style>
  <w:style w:type="paragraph" w:styleId="Objetducommentaire">
    <w:name w:val="annotation subject"/>
    <w:basedOn w:val="Commentaire"/>
    <w:next w:val="Commentaire"/>
    <w:link w:val="ObjetducommentaireCar"/>
    <w:uiPriority w:val="99"/>
    <w:semiHidden/>
    <w:unhideWhenUsed/>
    <w:rsid w:val="0065798F"/>
    <w:rPr>
      <w:b/>
      <w:bCs/>
    </w:rPr>
  </w:style>
  <w:style w:type="character" w:customStyle="1" w:styleId="ObjetducommentaireCar">
    <w:name w:val="Objet du commentaire Car"/>
    <w:basedOn w:val="CommentaireCar"/>
    <w:link w:val="Objetducommentaire"/>
    <w:uiPriority w:val="99"/>
    <w:semiHidden/>
    <w:rsid w:val="0065798F"/>
    <w:rPr>
      <w:rFonts w:asciiTheme="majorHAnsi" w:hAnsiTheme="maj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ECF69-8901-C445-9C37-2F81A7124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3865</Words>
  <Characters>21261</Characters>
  <Application>Microsoft Office Word</Application>
  <DocSecurity>0</DocSecurity>
  <Lines>177</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Règlement de la consultation Activez le mode péi 2027</vt:lpstr>
      <vt:lpstr/>
    </vt:vector>
  </TitlesOfParts>
  <Manager/>
  <Company/>
  <LinksUpToDate>false</LinksUpToDate>
  <CharactersWithSpaces>25076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la consultation Activez le mode péi 2027</dc:title>
  <dc:subject/>
  <dc:creator>Yannick Decara</dc:creator>
  <cp:keywords/>
  <dc:description/>
  <cp:lastModifiedBy>Laure DESAUGER</cp:lastModifiedBy>
  <cp:revision>20</cp:revision>
  <dcterms:created xsi:type="dcterms:W3CDTF">2026-10-12T09:32:00Z</dcterms:created>
  <dcterms:modified xsi:type="dcterms:W3CDTF">2026-10-14T11:08:00Z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d9e1db8-c26e-4271-9aaf-650ab42f32b8_Enabled">
    <vt:lpwstr>true</vt:lpwstr>
  </property>
  <property fmtid="{D5CDD505-2E9C-101B-9397-08002B2CF9AE}" pid="3" name="MSIP_Label_5d9e1db8-c26e-4271-9aaf-650ab42f32b8_SetDate">
    <vt:lpwstr>2026-10-07T05:15:56Z</vt:lpwstr>
  </property>
  <property fmtid="{D5CDD505-2E9C-101B-9397-08002B2CF9AE}" pid="4" name="MSIP_Label_5d9e1db8-c26e-4271-9aaf-650ab42f32b8_Method">
    <vt:lpwstr>Standard</vt:lpwstr>
  </property>
  <property fmtid="{D5CDD505-2E9C-101B-9397-08002B2CF9AE}" pid="5" name="MSIP_Label_5d9e1db8-c26e-4271-9aaf-650ab42f32b8_Name">
    <vt:lpwstr>defa4170-0d19-0005-0004-bc88714345d2</vt:lpwstr>
  </property>
  <property fmtid="{D5CDD505-2E9C-101B-9397-08002B2CF9AE}" pid="6" name="MSIP_Label_5d9e1db8-c26e-4271-9aaf-650ab42f32b8_SiteId">
    <vt:lpwstr>5e5a46f3-210c-4a9c-aa4b-c44963c052d2</vt:lpwstr>
  </property>
  <property fmtid="{D5CDD505-2E9C-101B-9397-08002B2CF9AE}" pid="7" name="MSIP_Label_5d9e1db8-c26e-4271-9aaf-650ab42f32b8_ActionId">
    <vt:lpwstr>bbdb16d2-99c2-4a92-80d3-b6ed6c74a0a1</vt:lpwstr>
  </property>
  <property fmtid="{D5CDD505-2E9C-101B-9397-08002B2CF9AE}" pid="8" name="MSIP_Label_5d9e1db8-c26e-4271-9aaf-650ab42f32b8_ContentBits">
    <vt:lpwstr>0</vt:lpwstr>
  </property>
  <property fmtid="{D5CDD505-2E9C-101B-9397-08002B2CF9AE}" pid="9" name="MSIP_Label_5d9e1db8-c26e-4271-9aaf-650ab42f32b8_Tag">
    <vt:lpwstr>10, 3, 0, 1</vt:lpwstr>
  </property>
</Properties>
</file>