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DDC72" w14:textId="77777777" w:rsidR="00A8388D" w:rsidRDefault="00A8388D">
      <w:pPr>
        <w:spacing w:before="1800"/>
      </w:pPr>
    </w:p>
    <w:p w14:paraId="483EBD95" w14:textId="77777777" w:rsidR="00A8388D" w:rsidRDefault="00C97429">
      <w:pPr>
        <w:spacing w:after="200"/>
        <w:jc w:val="center"/>
      </w:pPr>
      <w:r>
        <w:rPr>
          <w:b/>
          <w:bCs/>
          <w:color w:val="1F3864"/>
          <w:sz w:val="32"/>
          <w:szCs w:val="32"/>
        </w:rPr>
        <w:t>RÈGLEMENT DE LA CONSULTATION</w:t>
      </w:r>
    </w:p>
    <w:p w14:paraId="29FBD180" w14:textId="77777777" w:rsidR="00A8388D" w:rsidRDefault="00C97429">
      <w:pPr>
        <w:spacing w:after="200"/>
        <w:jc w:val="center"/>
      </w:pPr>
      <w:r>
        <w:rPr>
          <w:b/>
          <w:bCs/>
          <w:color w:val="1F3864"/>
          <w:sz w:val="24"/>
          <w:szCs w:val="24"/>
        </w:rPr>
        <w:t>ASSISTANCE À MAÎTRISE D’OUVRAGE (AMOA) – PRÉPARATION DE L’IMPLÉMENTATION DU NOUVEL ERP</w:t>
      </w:r>
    </w:p>
    <w:p w14:paraId="3CA0E335" w14:textId="77777777" w:rsidR="00A8388D" w:rsidRDefault="00C97429">
      <w:pPr>
        <w:spacing w:after="200"/>
        <w:jc w:val="center"/>
      </w:pPr>
      <w:r>
        <w:rPr>
          <w:color w:val="1F3864"/>
        </w:rPr>
        <w:t>Date et heure limites de réception des offres : lundi 23 novembre 2026 à 12h00 (heure de Mayotte)</w:t>
      </w:r>
    </w:p>
    <w:p w14:paraId="03393B94" w14:textId="77777777" w:rsidR="00A8388D" w:rsidRDefault="00C97429">
      <w:pPr>
        <w:spacing w:after="200"/>
        <w:jc w:val="center"/>
      </w:pPr>
      <w:r>
        <w:rPr>
          <w:color w:val="1F3864"/>
          <w:sz w:val="18"/>
          <w:szCs w:val="18"/>
        </w:rPr>
        <w:t>(soit un délai d’au moins 25 jours calendaires à compter de la publication de l’avis d’appel à la concurrence)</w:t>
      </w:r>
    </w:p>
    <w:p w14:paraId="45AF4FA4" w14:textId="77777777" w:rsidR="00A8388D" w:rsidRDefault="00C97429">
      <w:pPr>
        <w:spacing w:after="200"/>
        <w:jc w:val="center"/>
      </w:pPr>
      <w:r>
        <w:rPr>
          <w:color w:val="1F3864"/>
        </w:rPr>
        <w:t>Électricité de Mayotte – ZI Kaweni – 97600 Mamoudzou</w:t>
      </w:r>
    </w:p>
    <w:p w14:paraId="718F2D3B" w14:textId="77777777" w:rsidR="00A8388D" w:rsidRDefault="00C97429">
      <w:r>
        <w:br w:type="page"/>
      </w:r>
    </w:p>
    <w:p w14:paraId="1CC71B6F" w14:textId="77777777" w:rsidR="00A8388D" w:rsidRDefault="00C97429">
      <w:pPr>
        <w:pStyle w:val="Heading1"/>
        <w:keepNext/>
        <w:spacing w:before="280" w:after="140"/>
      </w:pPr>
      <w:r>
        <w:rPr>
          <w:b/>
          <w:bCs/>
          <w:color w:val="1F3864"/>
          <w:sz w:val="24"/>
          <w:szCs w:val="24"/>
        </w:rPr>
        <w:t>1 – Objet et étendue de la consultation</w:t>
      </w:r>
    </w:p>
    <w:p w14:paraId="1D74337D" w14:textId="77777777" w:rsidR="00A8388D" w:rsidRDefault="00C97429">
      <w:pPr>
        <w:pStyle w:val="Heading2"/>
        <w:keepNext/>
        <w:spacing w:before="200" w:after="100"/>
      </w:pPr>
      <w:r>
        <w:rPr>
          <w:b/>
          <w:bCs/>
          <w:color w:val="1F3864"/>
          <w:sz w:val="21"/>
          <w:szCs w:val="21"/>
        </w:rPr>
        <w:t>1.1 – Identification de l’acheteur</w:t>
      </w:r>
    </w:p>
    <w:p w14:paraId="0DE804CD" w14:textId="77777777" w:rsidR="00A8388D" w:rsidRDefault="00C97429">
      <w:pPr>
        <w:spacing w:after="120" w:line="276" w:lineRule="auto"/>
        <w:jc w:val="both"/>
      </w:pPr>
      <w:r>
        <w:t>Nom de l’entité adjudicatrice : ÉLECTRICITÉ DE MAYOTTE</w:t>
      </w:r>
    </w:p>
    <w:p w14:paraId="190CDD67" w14:textId="77777777" w:rsidR="00A8388D" w:rsidRDefault="00C97429">
      <w:pPr>
        <w:spacing w:after="120" w:line="276" w:lineRule="auto"/>
        <w:jc w:val="both"/>
      </w:pPr>
      <w:r>
        <w:t>Adresse : ZI KAWENI, 97600 MAMOUDZOU</w:t>
      </w:r>
    </w:p>
    <w:p w14:paraId="1D968359" w14:textId="77777777" w:rsidR="00A8388D" w:rsidRDefault="00C97429">
      <w:pPr>
        <w:pStyle w:val="Heading2"/>
        <w:keepNext/>
        <w:spacing w:before="200" w:after="100"/>
      </w:pPr>
      <w:r>
        <w:rPr>
          <w:b/>
          <w:bCs/>
          <w:color w:val="1F3864"/>
          <w:sz w:val="21"/>
          <w:szCs w:val="21"/>
        </w:rPr>
        <w:t>1.2 – Objet</w:t>
      </w:r>
    </w:p>
    <w:p w14:paraId="3239B963" w14:textId="77777777" w:rsidR="00A8388D" w:rsidRDefault="00C97429">
      <w:pPr>
        <w:spacing w:after="120" w:line="276" w:lineRule="auto"/>
        <w:jc w:val="both"/>
      </w:pPr>
      <w:r>
        <w:t>La présente consultation a pour objet de sélectionner un prestataire d’assistance à maîtrise d’ouvrage (AMOA) chargé de préparer la phase d’implémentation du futur ERP d’EDM et d’anticiper son intégration dans son organisation et son système d’information : description des processus cibles, des objets de gestion et des workflows, référentiels de données, rôles et habilitations, besoins liés à la CRE et à la concession, stratégie de reprise des données, architecture cible et interfaces, indicateurs et reporting.</w:t>
      </w:r>
    </w:p>
    <w:p w14:paraId="6B89CC73" w14:textId="77777777" w:rsidR="00A8388D" w:rsidRDefault="00C97429">
      <w:pPr>
        <w:spacing w:after="120" w:line="276" w:lineRule="auto"/>
        <w:jc w:val="both"/>
      </w:pPr>
      <w:r>
        <w:t>Le présent marché est distinct du marché d’assistance à maîtrise d’ouvrage relatif au choix et à l’acquisition du futur ERP, conclu par EDM en 2026, qui porte sur l’analyse de l’existant, la définition des besoins, la rédaction des documents de la consultation et l’assistance au choix de l’éditeur et de l’intégrateur. Ces prestations ne relèvent pas du présent marché. Celui-ci s’appuie sur leurs résultats et a pour objet de les prolonger jusqu’au niveau de détail requis pour le paramétrage et l’implémentation de la solution retenue.</w:t>
      </w:r>
    </w:p>
    <w:p w14:paraId="20754E8A" w14:textId="77777777" w:rsidR="00A8388D" w:rsidRDefault="00C97429">
      <w:pPr>
        <w:spacing w:after="120" w:line="276" w:lineRule="auto"/>
        <w:jc w:val="both"/>
      </w:pPr>
      <w:r>
        <w:t>Les prestations seront réalisées au siège d’EDM (Kaweni, 97600 Mamoudzou) et, pour partie, à distance.</w:t>
      </w:r>
    </w:p>
    <w:p w14:paraId="4F52DA3A" w14:textId="77777777" w:rsidR="00A8388D" w:rsidRDefault="00C97429">
      <w:pPr>
        <w:spacing w:after="120" w:line="276" w:lineRule="auto"/>
        <w:jc w:val="both"/>
      </w:pPr>
      <w:r>
        <w:t>L’étendue des prestations est plus largement décrite au CCTP.</w:t>
      </w:r>
    </w:p>
    <w:p w14:paraId="388AB199" w14:textId="77777777" w:rsidR="00A8388D" w:rsidRDefault="00C97429">
      <w:pPr>
        <w:pStyle w:val="Heading2"/>
        <w:keepNext/>
        <w:spacing w:before="200" w:after="100"/>
      </w:pPr>
      <w:r>
        <w:rPr>
          <w:b/>
          <w:bCs/>
          <w:color w:val="1F3864"/>
          <w:sz w:val="21"/>
          <w:szCs w:val="21"/>
        </w:rPr>
        <w:t>1.3 – Mode de passation</w:t>
      </w:r>
    </w:p>
    <w:p w14:paraId="3BCBFBD8" w14:textId="77777777" w:rsidR="00A8388D" w:rsidRDefault="00C97429">
      <w:pPr>
        <w:spacing w:after="120" w:line="276" w:lineRule="auto"/>
        <w:jc w:val="both"/>
      </w:pPr>
      <w:r>
        <w:t>La procédure de passation utilisée est la procédure adaptée. Elle est soumise aux dispositions des articles L. 2123-1 et R. 2123-1 et suivants du code de la commande publique.</w:t>
      </w:r>
    </w:p>
    <w:p w14:paraId="1B896F54" w14:textId="77777777" w:rsidR="00A8388D" w:rsidRDefault="00C97429">
      <w:pPr>
        <w:spacing w:after="120" w:line="276" w:lineRule="auto"/>
        <w:jc w:val="both"/>
      </w:pPr>
      <w:r>
        <w:t>L’acheteur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w:t>
      </w:r>
    </w:p>
    <w:p w14:paraId="0280A58A" w14:textId="77777777" w:rsidR="00A8388D" w:rsidRDefault="00C97429">
      <w:pPr>
        <w:spacing w:after="120" w:line="276" w:lineRule="auto"/>
        <w:jc w:val="both"/>
      </w:pPr>
      <w:r>
        <w:t>L’acheteur éliminera les candidats dont la candidature sera jugée irrecevable ou dont les capacités seront jugées insuffisantes. Il procédera ensuite à l’analyse des offres remises par les candidats retenus. Il se réserve toutefois la possibilité de procéder à l’analyse des candidatures après analyse et classement des offres.</w:t>
      </w:r>
    </w:p>
    <w:p w14:paraId="1C5B3F34" w14:textId="77777777" w:rsidR="00A8388D" w:rsidRDefault="00C97429">
      <w:pPr>
        <w:spacing w:after="120" w:line="276" w:lineRule="auto"/>
        <w:jc w:val="both"/>
      </w:pPr>
      <w:r>
        <w:t>L’acheteur pourra autoriser les soumissionnaires concernés à régulariser les offres irrégulières, à condition qu’elles ne soient pas anormalement basses.</w:t>
      </w:r>
    </w:p>
    <w:p w14:paraId="73947DD7" w14:textId="77777777" w:rsidR="00A8388D" w:rsidRDefault="00C97429">
      <w:pPr>
        <w:pStyle w:val="Heading2"/>
        <w:keepNext/>
        <w:spacing w:before="200" w:after="100"/>
      </w:pPr>
      <w:r>
        <w:rPr>
          <w:b/>
          <w:bCs/>
          <w:color w:val="1F3864"/>
          <w:sz w:val="21"/>
          <w:szCs w:val="21"/>
        </w:rPr>
        <w:t>1.4 – Type et forme de contrat</w:t>
      </w:r>
    </w:p>
    <w:p w14:paraId="22AC8AAE" w14:textId="77777777" w:rsidR="00A8388D" w:rsidRDefault="00C97429">
      <w:pPr>
        <w:spacing w:after="120" w:line="276" w:lineRule="auto"/>
        <w:jc w:val="both"/>
      </w:pPr>
      <w:r>
        <w:t>Le marché est conclu à prix global et forfaitaire. Il est structuré comme suit :</w:t>
      </w:r>
    </w:p>
    <w:p w14:paraId="50510C80" w14:textId="77777777" w:rsidR="00A8388D" w:rsidRDefault="00C97429">
      <w:pPr>
        <w:pStyle w:val="ListParagraph"/>
        <w:numPr>
          <w:ilvl w:val="0"/>
          <w:numId w:val="1"/>
        </w:numPr>
        <w:spacing w:after="60" w:line="276" w:lineRule="auto"/>
        <w:jc w:val="both"/>
      </w:pPr>
      <w:r>
        <w:t>les prestations décrites au CCTP sont rémunérées par des prix globaux et forfaitaires (DPGF), le marché comportant une tranche ferme et une tranche optionnelle au sens des articles R. 2113-4 à R. 2113-6 du code de la commande publique ;</w:t>
      </w:r>
    </w:p>
    <w:p w14:paraId="50597BCA" w14:textId="77777777" w:rsidR="00A8388D" w:rsidRDefault="00C97429">
      <w:pPr>
        <w:pStyle w:val="ListParagraph"/>
        <w:numPr>
          <w:ilvl w:val="0"/>
          <w:numId w:val="1"/>
        </w:numPr>
        <w:spacing w:after="60" w:line="276" w:lineRule="auto"/>
        <w:jc w:val="both"/>
      </w:pPr>
      <w:r>
        <w:t>les prestations complémentaires éventuelles, définies à l’article 12 des CPA, sont rémunérées par application des prix unitaires du bordereau des prix unitaires (BPU) aux quantités commandées par commandes d’exécution (article 5 des CGA). Cette part à bons de commande ne comporte pas de montant minimum ; son montant maximum est fixé à 30 000 euros HT sur toute la durée du marché. Les prix unitaires du BPU ne peuvent être supérieurs au prix journalier retenu par le candidat pour l’établissement de ses prix globaux et forfaitaires dans la DPGF.</w:t>
      </w:r>
    </w:p>
    <w:p w14:paraId="13EEE6CD" w14:textId="77777777" w:rsidR="00A8388D" w:rsidRDefault="00C97429">
      <w:pPr>
        <w:pStyle w:val="Heading2"/>
        <w:keepNext/>
        <w:spacing w:before="200" w:after="100"/>
      </w:pPr>
      <w:r>
        <w:rPr>
          <w:b/>
          <w:bCs/>
          <w:color w:val="1F3864"/>
          <w:sz w:val="21"/>
          <w:szCs w:val="21"/>
        </w:rPr>
        <w:t>1.5 – Tranches</w:t>
      </w:r>
    </w:p>
    <w:p w14:paraId="4F1907F6" w14:textId="77777777" w:rsidR="00A8388D" w:rsidRDefault="00C97429">
      <w:pPr>
        <w:spacing w:after="120" w:line="276" w:lineRule="auto"/>
        <w:jc w:val="both"/>
      </w:pPr>
      <w:r>
        <w:t>Le marché comporte :</w:t>
      </w:r>
    </w:p>
    <w:p w14:paraId="0E5338C5" w14:textId="77777777" w:rsidR="00A8388D" w:rsidRDefault="00C97429">
      <w:pPr>
        <w:pStyle w:val="ListParagraph"/>
        <w:numPr>
          <w:ilvl w:val="0"/>
          <w:numId w:val="1"/>
        </w:numPr>
        <w:spacing w:after="60" w:line="276" w:lineRule="auto"/>
        <w:jc w:val="both"/>
      </w:pPr>
      <w:r>
        <w:rPr>
          <w:b/>
          <w:bCs/>
        </w:rPr>
        <w:t>une tranche ferme</w:t>
      </w:r>
      <w:r>
        <w:t xml:space="preserve"> : volet 1 – processus, objets, workflows, référentiels de données, rôles et habilitations, besoins liés à la CRE et à la concession ;</w:t>
      </w:r>
    </w:p>
    <w:p w14:paraId="29B58D39" w14:textId="77777777" w:rsidR="00A8388D" w:rsidRDefault="00C97429">
      <w:pPr>
        <w:pStyle w:val="ListParagraph"/>
        <w:numPr>
          <w:ilvl w:val="0"/>
          <w:numId w:val="1"/>
        </w:numPr>
        <w:spacing w:after="60" w:line="276" w:lineRule="auto"/>
        <w:jc w:val="both"/>
      </w:pPr>
      <w:r>
        <w:rPr>
          <w:b/>
          <w:bCs/>
        </w:rPr>
        <w:t>une tranche optionnelle</w:t>
      </w:r>
      <w:r>
        <w:t xml:space="preserve"> : volet 2 – stratégie de reprise des données, architecture cible et interfaces, indicateurs et reporting.</w:t>
      </w:r>
    </w:p>
    <w:p w14:paraId="34F78B44" w14:textId="568E68AA" w:rsidR="00A8388D" w:rsidRDefault="00C97429">
      <w:pPr>
        <w:spacing w:after="120" w:line="276" w:lineRule="auto"/>
        <w:jc w:val="both"/>
      </w:pPr>
      <w:r>
        <w:t xml:space="preserve">La tranche optionnelle est affermie par décision de l’acheteur notifiée au titulaire au plus tard le </w:t>
      </w:r>
      <w:r w:rsidR="00453E5F">
        <w:t>31 mars 2027</w:t>
      </w:r>
      <w:r>
        <w:t>. L’absence d’affermissement dans ce délai ou la renonciation à la tranche optionnelle n’ouvre droit à aucune indemnité au profit du titulaire.</w:t>
      </w:r>
    </w:p>
    <w:p w14:paraId="17A67517" w14:textId="77777777" w:rsidR="00A8388D" w:rsidRDefault="00C97429">
      <w:pPr>
        <w:pStyle w:val="Heading2"/>
        <w:keepNext/>
        <w:spacing w:before="200" w:after="100"/>
      </w:pPr>
      <w:r>
        <w:rPr>
          <w:b/>
          <w:bCs/>
          <w:color w:val="1F3864"/>
          <w:sz w:val="21"/>
          <w:szCs w:val="21"/>
        </w:rPr>
        <w:t>1.6 – Décomposition de la consultation</w:t>
      </w:r>
    </w:p>
    <w:p w14:paraId="67E6AE79" w14:textId="77777777" w:rsidR="00A8388D" w:rsidRDefault="00C97429">
      <w:pPr>
        <w:spacing w:after="120" w:line="276" w:lineRule="auto"/>
        <w:jc w:val="both"/>
      </w:pPr>
      <w:r>
        <w:t>Le marché comporte un lot unique : Assistance à maîtrise d’ouvrage (AMOA) – Préparation de l’implémentation du nouvel ERP.</w:t>
      </w:r>
    </w:p>
    <w:p w14:paraId="17C03DDD" w14:textId="77777777" w:rsidR="00A8388D" w:rsidRDefault="00C97429">
      <w:pPr>
        <w:spacing w:after="120" w:line="276" w:lineRule="auto"/>
        <w:jc w:val="both"/>
      </w:pPr>
      <w:r>
        <w:t>Le marché n’est pas alloti. Les prestations sont étroitement interdépendantes, les processus cibles conditionnant les référentiels, les workflows, les habilitations, la reprise des données, les interfaces et les indicateurs. Leur dévolution en lots séparés rendrait techniquement difficile la coordination et la cohérence des travaux, qui doivent être conduits par une même équipe selon une méthodologie unique.</w:t>
      </w:r>
    </w:p>
    <w:p w14:paraId="4511FBF6" w14:textId="77777777" w:rsidR="00A8388D" w:rsidRDefault="00C97429">
      <w:pPr>
        <w:pStyle w:val="Heading2"/>
        <w:keepNext/>
        <w:spacing w:before="200" w:after="100"/>
      </w:pPr>
      <w:r>
        <w:rPr>
          <w:b/>
          <w:bCs/>
          <w:color w:val="1F3864"/>
          <w:sz w:val="21"/>
          <w:szCs w:val="21"/>
        </w:rPr>
        <w:t>1.7 – Prestations similaires</w:t>
      </w:r>
    </w:p>
    <w:p w14:paraId="5DFBDA71" w14:textId="77777777" w:rsidR="00A8388D" w:rsidRDefault="00C97429">
      <w:pPr>
        <w:spacing w:after="120" w:line="276" w:lineRule="auto"/>
        <w:jc w:val="both"/>
      </w:pPr>
      <w:r>
        <w:t>En application de l’article R. 2122-7 du code de la commande publique, l’acheteur se réserve la possibilité de confier ultérieurement au titulaire du présent marché, sans publicité ni mise en concurrence préalables, un ou plusieurs marchés ayant pour objet la réalisation de prestations similaires à celles du présent marché, dans un délai de trois ans à compter de sa notification.</w:t>
      </w:r>
    </w:p>
    <w:p w14:paraId="21F8053B" w14:textId="77777777" w:rsidR="00A8388D" w:rsidRDefault="00C97429">
      <w:pPr>
        <w:spacing w:after="120" w:line="276" w:lineRule="auto"/>
        <w:jc w:val="both"/>
      </w:pPr>
      <w:r>
        <w:t>Ces prestations similaires consistent en des prestations d’assistance à maîtrise d’ouvrage de même nature, portant notamment sur l’accompagnement d’EDM lors de la conception détaillée, du paramétrage, de la recette et de la reprise des données du nouvel ERP. Leur montant estimé, soit 180 000 euros HT, a été pris en compte pour le calcul de la valeur estimée du présent marché.</w:t>
      </w:r>
    </w:p>
    <w:p w14:paraId="42ED7CA7" w14:textId="77777777" w:rsidR="00A8388D" w:rsidRDefault="00C97429">
      <w:pPr>
        <w:pStyle w:val="Heading1"/>
        <w:keepNext/>
        <w:spacing w:before="280" w:after="140"/>
      </w:pPr>
      <w:r>
        <w:rPr>
          <w:b/>
          <w:bCs/>
          <w:color w:val="1F3864"/>
          <w:sz w:val="24"/>
          <w:szCs w:val="24"/>
        </w:rPr>
        <w:t>2 – Conditions de la consultation</w:t>
      </w:r>
    </w:p>
    <w:p w14:paraId="2BD3F2CD" w14:textId="77777777" w:rsidR="00A8388D" w:rsidRDefault="00C97429">
      <w:pPr>
        <w:pStyle w:val="Heading2"/>
        <w:keepNext/>
        <w:spacing w:before="200" w:after="100"/>
      </w:pPr>
      <w:r>
        <w:rPr>
          <w:b/>
          <w:bCs/>
          <w:color w:val="1F3864"/>
          <w:sz w:val="21"/>
          <w:szCs w:val="21"/>
        </w:rPr>
        <w:t>2.1 – Délai de validité des offres</w:t>
      </w:r>
    </w:p>
    <w:p w14:paraId="7D167E08" w14:textId="77777777" w:rsidR="00A8388D" w:rsidRDefault="00C97429">
      <w:pPr>
        <w:spacing w:after="120" w:line="276" w:lineRule="auto"/>
        <w:jc w:val="both"/>
      </w:pPr>
      <w:r>
        <w:t>Le délai de validité des offres est fixé à 4 mois à compter de la date limite de réception des offres.</w:t>
      </w:r>
    </w:p>
    <w:p w14:paraId="62EDF7C2" w14:textId="77777777" w:rsidR="00A8388D" w:rsidRDefault="00C97429">
      <w:pPr>
        <w:pStyle w:val="Heading2"/>
        <w:keepNext/>
        <w:spacing w:before="200" w:after="100"/>
      </w:pPr>
      <w:r>
        <w:rPr>
          <w:b/>
          <w:bCs/>
          <w:color w:val="1F3864"/>
          <w:sz w:val="21"/>
          <w:szCs w:val="21"/>
        </w:rPr>
        <w:t>2.2 – Forme juridique du groupement</w:t>
      </w:r>
    </w:p>
    <w:p w14:paraId="5E46BB3F" w14:textId="77777777" w:rsidR="00A8388D" w:rsidRDefault="00C97429">
      <w:pPr>
        <w:spacing w:after="120" w:line="276" w:lineRule="auto"/>
        <w:jc w:val="both"/>
      </w:pPr>
      <w:r>
        <w:t>L’acheteur ne souhaite imposer aucune forme de groupement à l’attributaire du marché.</w:t>
      </w:r>
    </w:p>
    <w:p w14:paraId="5A8A3DB2" w14:textId="77777777" w:rsidR="00A8388D" w:rsidRDefault="00C97429">
      <w:pPr>
        <w:spacing w:after="120" w:line="276" w:lineRule="auto"/>
        <w:jc w:val="both"/>
      </w:pPr>
      <w:r>
        <w:t>Il est interdit aux candidats de présenter plusieurs offres en agissant à la fois en qualité de candidats individuels et de membres d’un ou plusieurs groupements.</w:t>
      </w:r>
    </w:p>
    <w:p w14:paraId="046DBF64" w14:textId="77777777" w:rsidR="00A8388D" w:rsidRDefault="00C97429">
      <w:pPr>
        <w:pStyle w:val="Heading2"/>
        <w:keepNext/>
        <w:spacing w:before="200" w:after="100"/>
      </w:pPr>
      <w:r>
        <w:rPr>
          <w:b/>
          <w:bCs/>
          <w:color w:val="1F3864"/>
          <w:sz w:val="21"/>
          <w:szCs w:val="21"/>
        </w:rPr>
        <w:t>2.3 – Variantes</w:t>
      </w:r>
    </w:p>
    <w:p w14:paraId="01541E1F" w14:textId="77777777" w:rsidR="00A8388D" w:rsidRDefault="00C97429">
      <w:pPr>
        <w:spacing w:after="120" w:line="276" w:lineRule="auto"/>
        <w:jc w:val="both"/>
      </w:pPr>
      <w:r>
        <w:t>Aucune variante n’est autorisée.</w:t>
      </w:r>
    </w:p>
    <w:p w14:paraId="131446FC" w14:textId="77777777" w:rsidR="00A8388D" w:rsidRDefault="00C97429">
      <w:pPr>
        <w:pStyle w:val="Heading2"/>
        <w:keepNext/>
        <w:spacing w:before="200" w:after="100"/>
      </w:pPr>
      <w:r>
        <w:rPr>
          <w:b/>
          <w:bCs/>
          <w:color w:val="1F3864"/>
          <w:sz w:val="21"/>
          <w:szCs w:val="21"/>
        </w:rPr>
        <w:t>2.4 – Négociation</w:t>
      </w:r>
    </w:p>
    <w:p w14:paraId="0BF3DC1C" w14:textId="77777777" w:rsidR="00A8388D" w:rsidRDefault="00C97429">
      <w:pPr>
        <w:spacing w:after="120" w:line="276" w:lineRule="auto"/>
        <w:jc w:val="both"/>
      </w:pPr>
      <w:r>
        <w:t>Conformément aux articles R. 2123-4 et R. 2123-5 du code de la commande publique, l’acheteur se réserve la possibilité d’attribuer le marché sans négociation sur la base des offres initiales déclarées recevables, ou d’attribuer le marché après une négociation limitée aux soumissionnaires ayant remis les meilleures offres initiales recevables, sélectionnées par application des critères d’attribution.</w:t>
      </w:r>
    </w:p>
    <w:p w14:paraId="254FE3BF" w14:textId="77777777" w:rsidR="00A8388D" w:rsidRDefault="00C97429">
      <w:pPr>
        <w:spacing w:after="120" w:line="276" w:lineRule="auto"/>
        <w:jc w:val="both"/>
      </w:pPr>
      <w:r>
        <w:t>Plusieurs tours de négociation pourront être menés, à la discrétion de l’acheteur, sur la base des critères d’attribution initiaux. Les soumissionnaires peuvent être définitivement exclus de la négociation, sans information préalable, à l’issue d’un tour de négociation, en fonction du classement de leur offre en application des critères d’attribution.</w:t>
      </w:r>
    </w:p>
    <w:p w14:paraId="04E0CFC0" w14:textId="77777777" w:rsidR="00A8388D" w:rsidRDefault="00C97429">
      <w:pPr>
        <w:spacing w:after="120" w:line="276" w:lineRule="auto"/>
        <w:jc w:val="both"/>
      </w:pPr>
      <w:r>
        <w:t>La négociation ne peut porter sur l’objet du marché ni modifier substantiellement les caractéristiques et conditions d’exécution du marché telles que définies dans les documents de la consultation.</w:t>
      </w:r>
    </w:p>
    <w:p w14:paraId="3F8E9ACE" w14:textId="77777777" w:rsidR="00A8388D" w:rsidRDefault="00C97429">
      <w:pPr>
        <w:pStyle w:val="Heading2"/>
        <w:keepNext/>
        <w:spacing w:before="200" w:after="100"/>
      </w:pPr>
      <w:r>
        <w:rPr>
          <w:b/>
          <w:bCs/>
          <w:color w:val="1F3864"/>
          <w:sz w:val="21"/>
          <w:szCs w:val="21"/>
        </w:rPr>
        <w:t>2.5 – Indépendance des candidats</w:t>
      </w:r>
    </w:p>
    <w:p w14:paraId="5CD5ACCF" w14:textId="77777777" w:rsidR="00A8388D" w:rsidRDefault="00C97429">
      <w:pPr>
        <w:spacing w:after="120" w:line="276" w:lineRule="auto"/>
        <w:jc w:val="both"/>
      </w:pPr>
      <w:r>
        <w:t>Compte tenu de la consultation en cours relative au choix de l’ERP, le candidat atteste, dans son offre, n’entretenir aucun lien capitalistique, commercial, contractuel ou d’intérêt avec un éditeur, un intégrateur ou tout autre acteur susceptible de proposer une solution ERP dans le cadre de cette consultation. Les engagements correspondants figurent à l’article 2 des CPA.</w:t>
      </w:r>
    </w:p>
    <w:p w14:paraId="0C536CE0" w14:textId="77777777" w:rsidR="00A8388D" w:rsidRDefault="00C97429">
      <w:pPr>
        <w:pStyle w:val="Heading1"/>
        <w:keepNext/>
        <w:spacing w:before="280" w:after="140"/>
      </w:pPr>
      <w:r>
        <w:rPr>
          <w:b/>
          <w:bCs/>
          <w:color w:val="1F3864"/>
          <w:sz w:val="24"/>
          <w:szCs w:val="24"/>
        </w:rPr>
        <w:t>3 – Conditions relatives au contrat</w:t>
      </w:r>
    </w:p>
    <w:p w14:paraId="77848186" w14:textId="77777777" w:rsidR="00A8388D" w:rsidRDefault="00C97429">
      <w:pPr>
        <w:spacing w:after="120" w:line="276" w:lineRule="auto"/>
        <w:jc w:val="both"/>
      </w:pPr>
      <w:r>
        <w:t>Les délais d’exécution des prestations sont fixés aux CPA.</w:t>
      </w:r>
    </w:p>
    <w:p w14:paraId="3169DBB4" w14:textId="77777777" w:rsidR="00A8388D" w:rsidRDefault="00C97429">
      <w:pPr>
        <w:pStyle w:val="Heading1"/>
        <w:keepNext/>
        <w:spacing w:before="280" w:after="140"/>
      </w:pPr>
      <w:r>
        <w:rPr>
          <w:b/>
          <w:bCs/>
          <w:color w:val="1F3864"/>
          <w:sz w:val="24"/>
          <w:szCs w:val="24"/>
        </w:rPr>
        <w:t>4 – Contenu du dossier de consultation</w:t>
      </w:r>
    </w:p>
    <w:p w14:paraId="451E6321" w14:textId="77777777" w:rsidR="00A8388D" w:rsidRDefault="00C97429">
      <w:pPr>
        <w:spacing w:after="120" w:line="276" w:lineRule="auto"/>
        <w:jc w:val="both"/>
      </w:pPr>
      <w:r>
        <w:t>Le dossier de consultation des entreprises (DCE) contient les pièces suivantes :</w:t>
      </w:r>
    </w:p>
    <w:p w14:paraId="39CDC18E" w14:textId="77777777" w:rsidR="00A8388D" w:rsidRDefault="00C97429">
      <w:pPr>
        <w:pStyle w:val="ListParagraph"/>
        <w:numPr>
          <w:ilvl w:val="0"/>
          <w:numId w:val="1"/>
        </w:numPr>
        <w:spacing w:after="60" w:line="276" w:lineRule="auto"/>
        <w:jc w:val="both"/>
      </w:pPr>
      <w:r>
        <w:t>le règlement de la consultation (RC) ;</w:t>
      </w:r>
    </w:p>
    <w:p w14:paraId="258732E3" w14:textId="77777777" w:rsidR="00A8388D" w:rsidRDefault="00C97429">
      <w:pPr>
        <w:pStyle w:val="ListParagraph"/>
        <w:numPr>
          <w:ilvl w:val="0"/>
          <w:numId w:val="1"/>
        </w:numPr>
        <w:spacing w:after="60" w:line="276" w:lineRule="auto"/>
        <w:jc w:val="both"/>
      </w:pPr>
      <w:r>
        <w:t>les CPA valant acte d’engagement et leurs annexes financières : la décomposition du prix global et forfaitaire (DPGF) et le bordereau des prix unitaires (BPU) ;</w:t>
      </w:r>
    </w:p>
    <w:p w14:paraId="4EB8012F" w14:textId="77777777" w:rsidR="00A8388D" w:rsidRDefault="00C97429">
      <w:pPr>
        <w:pStyle w:val="ListParagraph"/>
        <w:numPr>
          <w:ilvl w:val="0"/>
          <w:numId w:val="1"/>
        </w:numPr>
        <w:spacing w:after="60" w:line="276" w:lineRule="auto"/>
        <w:jc w:val="both"/>
      </w:pPr>
      <w:r>
        <w:t>les conditions générales d’achat (CGA) Électricité de Mayotte – Production Ingénierie applicables aux Fournitures, Travaux, Services, version de septembre 2020 ;</w:t>
      </w:r>
    </w:p>
    <w:p w14:paraId="0412564C" w14:textId="77777777" w:rsidR="00A8388D" w:rsidRDefault="00C97429">
      <w:pPr>
        <w:pStyle w:val="ListParagraph"/>
        <w:numPr>
          <w:ilvl w:val="0"/>
          <w:numId w:val="1"/>
        </w:numPr>
        <w:spacing w:after="60" w:line="276" w:lineRule="auto"/>
        <w:jc w:val="both"/>
      </w:pPr>
      <w:r>
        <w:t>le cahier des clauses techniques particulières (CCTP) et ses annexes, dont la liste des documents mis à disposition des candidats.</w:t>
      </w:r>
    </w:p>
    <w:p w14:paraId="4E855C81" w14:textId="77777777" w:rsidR="00A8388D" w:rsidRDefault="00C97429">
      <w:pPr>
        <w:spacing w:after="120" w:line="276" w:lineRule="auto"/>
        <w:jc w:val="both"/>
      </w:pPr>
      <w:r>
        <w:t>Les documents mis à disposition des candidats, listés en annexe du CCTP, leur sont communiqués à la seule fin de l’élaboration de leur offre. Les candidats s’engagent à en préserver la confidentialité et à ne pas les utiliser à d’autres fins.</w:t>
      </w:r>
    </w:p>
    <w:p w14:paraId="6D3A91DC" w14:textId="77777777" w:rsidR="00A8388D" w:rsidRDefault="00C97429">
      <w:pPr>
        <w:spacing w:after="120" w:line="276" w:lineRule="auto"/>
        <w:jc w:val="both"/>
      </w:pPr>
      <w:r>
        <w:t>Le DCE est remis gratuitement à chaque candidat. Les candidats peuvent demander la transmission du DCE ainsi que d’éventuels documents complémentaires sur un support physique électronique.</w:t>
      </w:r>
    </w:p>
    <w:p w14:paraId="7AFA8C52" w14:textId="77777777" w:rsidR="00A8388D" w:rsidRDefault="00C97429">
      <w:pPr>
        <w:spacing w:after="120" w:line="276" w:lineRule="auto"/>
        <w:jc w:val="both"/>
      </w:pPr>
      <w:r>
        <w:t>L’acheteur se réserve le droit d’apporter des modifications de détail au dossier de consultation au plus tard 7 jours avant la date limite de réception des offres. Ce délai est décompté à partir de la date d’envoi par l’acheteur des modifications aux candidats ayant retiré le dossier initial. Les candidats devront alors répondre sur la base du dossier modifié sans pouvoir élever aucune réclamation à ce sujet. Si, pendant l’étude du dossier par les candidats, la date limite de réception des offres est reportée, la disposition précédente est applicable en fonction de cette nouvelle date.</w:t>
      </w:r>
    </w:p>
    <w:p w14:paraId="78E6191A" w14:textId="77777777" w:rsidR="00A8388D" w:rsidRDefault="00C97429">
      <w:pPr>
        <w:pStyle w:val="Heading1"/>
        <w:keepNext/>
        <w:spacing w:before="280" w:after="140"/>
      </w:pPr>
      <w:r>
        <w:rPr>
          <w:b/>
          <w:bCs/>
          <w:color w:val="1F3864"/>
          <w:sz w:val="24"/>
          <w:szCs w:val="24"/>
        </w:rPr>
        <w:t>5 – Présentation des candidatures et des offres</w:t>
      </w:r>
    </w:p>
    <w:p w14:paraId="2E5DE944" w14:textId="77777777" w:rsidR="00A8388D" w:rsidRDefault="00C97429">
      <w:pPr>
        <w:spacing w:after="120" w:line="276" w:lineRule="auto"/>
        <w:jc w:val="both"/>
      </w:pPr>
      <w:r>
        <w:t>Les offres des candidats seront entièrement rédigées en langue française et exprimées en euros. Si les offres des candidats sont rédigées dans une autre langue, elles doivent être accompagnées d’une traduction en français portant sur l’ensemble des documents remis.</w:t>
      </w:r>
    </w:p>
    <w:p w14:paraId="63CAA20E" w14:textId="77777777" w:rsidR="00A8388D" w:rsidRDefault="00C97429">
      <w:pPr>
        <w:pStyle w:val="Heading2"/>
        <w:keepNext/>
        <w:spacing w:before="200" w:after="100"/>
      </w:pPr>
      <w:r>
        <w:rPr>
          <w:b/>
          <w:bCs/>
          <w:color w:val="1F3864"/>
          <w:sz w:val="21"/>
          <w:szCs w:val="21"/>
        </w:rPr>
        <w:t>5.1 – Pièces de la candidature</w:t>
      </w:r>
    </w:p>
    <w:p w14:paraId="6FB7D072" w14:textId="77777777" w:rsidR="00A8388D" w:rsidRDefault="00C97429">
      <w:pPr>
        <w:spacing w:after="120" w:line="276" w:lineRule="auto"/>
        <w:jc w:val="both"/>
      </w:pPr>
      <w:r>
        <w:t>Chaque candidat produit les pièces de candidature prévues aux articles R. 2143-3 et R. 2143-4 du code de la commande publique :</w:t>
      </w:r>
    </w:p>
    <w:p w14:paraId="79C48BB0" w14:textId="77777777" w:rsidR="00A8388D" w:rsidRDefault="00C97429">
      <w:pPr>
        <w:spacing w:after="60" w:line="276" w:lineRule="auto"/>
        <w:jc w:val="both"/>
      </w:pPr>
      <w:r>
        <w:rPr>
          <w:b/>
          <w:bCs/>
        </w:rPr>
        <w:t>Situation juridique</w:t>
      </w:r>
    </w:p>
    <w:p w14:paraId="042FDCE5" w14:textId="77777777" w:rsidR="00A8388D" w:rsidRDefault="00C97429">
      <w:pPr>
        <w:pStyle w:val="ListParagraph"/>
        <w:numPr>
          <w:ilvl w:val="0"/>
          <w:numId w:val="1"/>
        </w:numPr>
        <w:spacing w:after="60" w:line="276" w:lineRule="auto"/>
        <w:jc w:val="both"/>
      </w:pPr>
      <w:r>
        <w:t>le formulaire DC1 (lettre de candidature et habilitation du mandataire par ses cotraitants) ;</w:t>
      </w:r>
    </w:p>
    <w:p w14:paraId="3B39FDB5" w14:textId="77777777" w:rsidR="00A8388D" w:rsidRDefault="00C97429">
      <w:pPr>
        <w:pStyle w:val="ListParagraph"/>
        <w:numPr>
          <w:ilvl w:val="0"/>
          <w:numId w:val="1"/>
        </w:numPr>
        <w:spacing w:after="60" w:line="276" w:lineRule="auto"/>
        <w:jc w:val="both"/>
      </w:pPr>
      <w:r>
        <w:t>le formulaire DC2 (déclaration du candidat individuel ou du membre du groupement) ;</w:t>
      </w:r>
    </w:p>
    <w:p w14:paraId="3AC6CB4A" w14:textId="77777777" w:rsidR="00A8388D" w:rsidRDefault="00C97429">
      <w:pPr>
        <w:pStyle w:val="ListParagraph"/>
        <w:numPr>
          <w:ilvl w:val="0"/>
          <w:numId w:val="1"/>
        </w:numPr>
        <w:spacing w:after="60" w:line="276" w:lineRule="auto"/>
        <w:jc w:val="both"/>
      </w:pPr>
      <w:r>
        <w:t>une déclaration sur l’honneur datée et signée justifiant que le candidat n’entre dans aucun des cas mentionnés aux articles L. 2141-1 à L. 2141-5 et L. 2141-7 à L. 2141-11 du code de la commande publique, notamment qu’il satisfait aux obligations concernant l’emploi des travailleurs handicapés définies aux articles L. 5212-1 à L. 5212-11 du code du travail ;</w:t>
      </w:r>
    </w:p>
    <w:p w14:paraId="7771BB1C" w14:textId="77777777" w:rsidR="00A8388D" w:rsidRDefault="00C97429">
      <w:pPr>
        <w:pStyle w:val="ListParagraph"/>
        <w:numPr>
          <w:ilvl w:val="0"/>
          <w:numId w:val="1"/>
        </w:numPr>
        <w:spacing w:after="60" w:line="276" w:lineRule="auto"/>
        <w:jc w:val="both"/>
      </w:pPr>
      <w:r>
        <w:t>l’attestation selon laquelle le soumissionnaire n’entre dans aucun des cas prévus par le règlement (UE) n° 2022/576 du Conseil du 8 avril 2022 (attestation accessible sur le portail Achats à la remise de la consultation).</w:t>
      </w:r>
    </w:p>
    <w:p w14:paraId="61240A38" w14:textId="77777777" w:rsidR="00A8388D" w:rsidRDefault="00C97429">
      <w:pPr>
        <w:spacing w:after="60" w:line="276" w:lineRule="auto"/>
        <w:jc w:val="both"/>
      </w:pPr>
      <w:r>
        <w:rPr>
          <w:b/>
          <w:bCs/>
        </w:rPr>
        <w:t>Capacité économique et financière</w:t>
      </w:r>
    </w:p>
    <w:p w14:paraId="3EA8F982" w14:textId="77777777" w:rsidR="00A8388D" w:rsidRDefault="00C97429">
      <w:pPr>
        <w:pStyle w:val="ListParagraph"/>
        <w:numPr>
          <w:ilvl w:val="0"/>
          <w:numId w:val="1"/>
        </w:numPr>
        <w:spacing w:after="60" w:line="276" w:lineRule="auto"/>
        <w:jc w:val="both"/>
      </w:pPr>
      <w:r>
        <w:t>une déclaration concernant le chiffre d’affaires global et le chiffre d’affaires concernant les services objet du marché, réalisés au cours des trois derniers exercices disponibles ;</w:t>
      </w:r>
    </w:p>
    <w:p w14:paraId="7378D108" w14:textId="77777777" w:rsidR="00A8388D" w:rsidRDefault="00C97429">
      <w:pPr>
        <w:pStyle w:val="ListParagraph"/>
        <w:numPr>
          <w:ilvl w:val="0"/>
          <w:numId w:val="1"/>
        </w:numPr>
        <w:spacing w:after="60" w:line="276" w:lineRule="auto"/>
        <w:jc w:val="both"/>
      </w:pPr>
      <w:r>
        <w:t>une déclaration appropriée de banques ou la preuve d’une assurance pour les risques professionnels.</w:t>
      </w:r>
    </w:p>
    <w:p w14:paraId="7CF813D1" w14:textId="77777777" w:rsidR="00A8388D" w:rsidRDefault="00C97429">
      <w:pPr>
        <w:spacing w:after="60" w:line="276" w:lineRule="auto"/>
        <w:jc w:val="both"/>
      </w:pPr>
      <w:r>
        <w:rPr>
          <w:b/>
          <w:bCs/>
        </w:rPr>
        <w:t>Références professionnelles et capacité technique</w:t>
      </w:r>
    </w:p>
    <w:p w14:paraId="541D3921" w14:textId="77777777" w:rsidR="00A8388D" w:rsidRDefault="00C97429">
      <w:pPr>
        <w:pStyle w:val="ListParagraph"/>
        <w:numPr>
          <w:ilvl w:val="0"/>
          <w:numId w:val="1"/>
        </w:numPr>
        <w:spacing w:after="60" w:line="276" w:lineRule="auto"/>
        <w:jc w:val="both"/>
      </w:pPr>
      <w:r>
        <w:t>une liste des principales prestations d’assistance à maîtrise d’ouvrage réalisées au cours des trois dernières années dans le domaine des ERP (conception générale, processus, données, préparation de l’implémentation), indiquant le montant, la date et le destinataire public ou privé, prouvées par des attestations du destinataire ou, à défaut, par une déclaration de l’opérateur économique ;</w:t>
      </w:r>
    </w:p>
    <w:p w14:paraId="002578BD" w14:textId="77777777" w:rsidR="00A8388D" w:rsidRDefault="00C97429">
      <w:pPr>
        <w:pStyle w:val="ListParagraph"/>
        <w:numPr>
          <w:ilvl w:val="0"/>
          <w:numId w:val="1"/>
        </w:numPr>
        <w:spacing w:after="60" w:line="276" w:lineRule="auto"/>
        <w:jc w:val="both"/>
      </w:pPr>
      <w:r>
        <w:t>une déclaration indiquant les effectifs moyens annuels du candidat et l’importance du personnel d’encadrement pendant les trois dernières années.</w:t>
      </w:r>
    </w:p>
    <w:p w14:paraId="3895A4A8" w14:textId="77777777" w:rsidR="00A8388D" w:rsidRDefault="00C97429">
      <w:pPr>
        <w:spacing w:after="120" w:line="276" w:lineRule="auto"/>
        <w:jc w:val="both"/>
      </w:pPr>
      <w:r>
        <w:t>Ces déclarations sont à produire par les candidats individuels et par chacun des membres d’un groupement candidat et, le cas échéant, par les sous-traitants présentés. Les candidats peuvent utiliser les formulaires DC1 et DC2 ou le Document unique de marché européen (DUME). Pour justifier des capacités d’autres opérateurs économiques, le candidat produit les mêmes documents concernant ces opérateurs ainsi que leur engagement écrit.</w:t>
      </w:r>
    </w:p>
    <w:p w14:paraId="5FDA8B23" w14:textId="77777777" w:rsidR="00A8388D" w:rsidRDefault="00C97429">
      <w:pPr>
        <w:pStyle w:val="Heading2"/>
        <w:keepNext/>
        <w:spacing w:before="200" w:after="100"/>
      </w:pPr>
      <w:r>
        <w:rPr>
          <w:b/>
          <w:bCs/>
          <w:color w:val="1F3864"/>
          <w:sz w:val="21"/>
          <w:szCs w:val="21"/>
        </w:rPr>
        <w:t>5.2 – Pièces de l’offre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00"/>
        <w:gridCol w:w="3000"/>
      </w:tblGrid>
      <w:tr w:rsidR="00A8388D" w14:paraId="18731A62" w14:textId="77777777">
        <w:trPr>
          <w:tblHeader/>
        </w:trPr>
        <w:tc>
          <w:tcPr>
            <w:tcW w:w="63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5E18983A" w14:textId="77777777" w:rsidR="00A8388D" w:rsidRDefault="00C97429">
            <w:pPr>
              <w:spacing w:after="40"/>
            </w:pPr>
            <w:r>
              <w:rPr>
                <w:b/>
                <w:bCs/>
                <w:sz w:val="18"/>
                <w:szCs w:val="18"/>
              </w:rPr>
              <w:t>Pièce</w:t>
            </w:r>
          </w:p>
        </w:tc>
        <w:tc>
          <w:tcPr>
            <w:tcW w:w="3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7094D317" w14:textId="77777777" w:rsidR="00A8388D" w:rsidRDefault="00C97429">
            <w:pPr>
              <w:spacing w:after="40"/>
            </w:pPr>
            <w:r>
              <w:rPr>
                <w:b/>
                <w:bCs/>
                <w:sz w:val="18"/>
                <w:szCs w:val="18"/>
              </w:rPr>
              <w:t>Signature</w:t>
            </w:r>
          </w:p>
        </w:tc>
      </w:tr>
      <w:tr w:rsidR="00A8388D" w14:paraId="2588E5A0"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2C7F334" w14:textId="77777777" w:rsidR="00A8388D" w:rsidRDefault="00C97429">
            <w:pPr>
              <w:spacing w:after="40"/>
            </w:pPr>
            <w:r>
              <w:rPr>
                <w:sz w:val="18"/>
                <w:szCs w:val="18"/>
              </w:rPr>
              <w:t>Les CPA valant acte d’engagement</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BC9BDF3" w14:textId="77777777" w:rsidR="00A8388D" w:rsidRDefault="00C97429">
            <w:pPr>
              <w:spacing w:after="40"/>
            </w:pPr>
            <w:r>
              <w:rPr>
                <w:sz w:val="18"/>
                <w:szCs w:val="18"/>
              </w:rPr>
              <w:t>Oui</w:t>
            </w:r>
          </w:p>
        </w:tc>
      </w:tr>
      <w:tr w:rsidR="00A8388D" w14:paraId="1903F8EA"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DDF682" w14:textId="77777777" w:rsidR="00A8388D" w:rsidRDefault="00C97429">
            <w:pPr>
              <w:spacing w:after="40"/>
            </w:pPr>
            <w:r>
              <w:rPr>
                <w:sz w:val="18"/>
                <w:szCs w:val="18"/>
              </w:rPr>
              <w:t>Le cahier des clauses techniques particulières (CCTP)</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146825D" w14:textId="77777777" w:rsidR="00A8388D" w:rsidRDefault="00C97429">
            <w:pPr>
              <w:spacing w:after="40"/>
            </w:pPr>
            <w:r>
              <w:rPr>
                <w:sz w:val="18"/>
                <w:szCs w:val="18"/>
              </w:rPr>
              <w:t>Oui</w:t>
            </w:r>
          </w:p>
        </w:tc>
      </w:tr>
      <w:tr w:rsidR="00A8388D" w14:paraId="1B5580BB"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870D54A" w14:textId="77777777" w:rsidR="00A8388D" w:rsidRDefault="00C97429">
            <w:pPr>
              <w:spacing w:after="40"/>
            </w:pPr>
            <w:r>
              <w:rPr>
                <w:sz w:val="18"/>
                <w:szCs w:val="18"/>
              </w:rPr>
              <w:t>La décomposition du prix global et forfaitaire (DPGF), distinguant la tranche ferme et la tranche optionnelle</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BB35F23" w14:textId="77777777" w:rsidR="00A8388D" w:rsidRDefault="00C97429">
            <w:pPr>
              <w:spacing w:after="40"/>
            </w:pPr>
            <w:r>
              <w:rPr>
                <w:sz w:val="18"/>
                <w:szCs w:val="18"/>
              </w:rPr>
              <w:t>Oui</w:t>
            </w:r>
          </w:p>
        </w:tc>
      </w:tr>
      <w:tr w:rsidR="00A8388D" w14:paraId="01B20CCA"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A38568F" w14:textId="77777777" w:rsidR="00A8388D" w:rsidRDefault="00C97429">
            <w:pPr>
              <w:spacing w:after="40"/>
            </w:pPr>
            <w:r>
              <w:rPr>
                <w:sz w:val="18"/>
                <w:szCs w:val="18"/>
              </w:rPr>
              <w:t>Le bordereau des prix unitaires (BPU)</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E5D7083" w14:textId="77777777" w:rsidR="00A8388D" w:rsidRDefault="00C97429">
            <w:pPr>
              <w:spacing w:after="40"/>
            </w:pPr>
            <w:r>
              <w:rPr>
                <w:sz w:val="18"/>
                <w:szCs w:val="18"/>
              </w:rPr>
              <w:t>Oui</w:t>
            </w:r>
          </w:p>
        </w:tc>
      </w:tr>
      <w:tr w:rsidR="00A8388D" w14:paraId="3F53F8D2"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6A14187" w14:textId="77777777" w:rsidR="00A8388D" w:rsidRDefault="00C97429">
            <w:pPr>
              <w:spacing w:after="40"/>
            </w:pPr>
            <w:r>
              <w:rPr>
                <w:sz w:val="18"/>
                <w:szCs w:val="18"/>
              </w:rPr>
              <w:t>Le mémoire technique, structuré selon les sous-critères de l’article 7.2</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35BAEF7" w14:textId="77777777" w:rsidR="00A8388D" w:rsidRDefault="00C97429">
            <w:pPr>
              <w:spacing w:after="40"/>
            </w:pPr>
            <w:r>
              <w:rPr>
                <w:sz w:val="18"/>
                <w:szCs w:val="18"/>
              </w:rPr>
              <w:t>Oui</w:t>
            </w:r>
          </w:p>
        </w:tc>
      </w:tr>
      <w:tr w:rsidR="00A8388D" w14:paraId="2205D511"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37D67E2" w14:textId="77777777" w:rsidR="00A8388D" w:rsidRDefault="00C97429">
            <w:pPr>
              <w:spacing w:after="40"/>
            </w:pPr>
            <w:r>
              <w:rPr>
                <w:sz w:val="18"/>
                <w:szCs w:val="18"/>
              </w:rPr>
              <w:t>Le planning détaillé de la mission</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D07098A" w14:textId="77777777" w:rsidR="00A8388D" w:rsidRDefault="00C97429">
            <w:pPr>
              <w:spacing w:after="40"/>
            </w:pPr>
            <w:r>
              <w:rPr>
                <w:sz w:val="18"/>
                <w:szCs w:val="18"/>
              </w:rPr>
              <w:t>Non</w:t>
            </w:r>
          </w:p>
        </w:tc>
      </w:tr>
      <w:tr w:rsidR="00A8388D" w14:paraId="09D99A5E" w14:textId="77777777">
        <w:tc>
          <w:tcPr>
            <w:tcW w:w="63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4CBB029" w14:textId="77777777" w:rsidR="00A8388D" w:rsidRDefault="00C97429">
            <w:pPr>
              <w:spacing w:after="40"/>
            </w:pPr>
            <w:r>
              <w:rPr>
                <w:sz w:val="18"/>
                <w:szCs w:val="18"/>
              </w:rPr>
              <w:t>L’attestation d’indépendance prévue à l’article 2.5</w:t>
            </w:r>
          </w:p>
        </w:tc>
        <w:tc>
          <w:tcPr>
            <w:tcW w:w="3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531FD92" w14:textId="77777777" w:rsidR="00A8388D" w:rsidRDefault="00C97429">
            <w:pPr>
              <w:spacing w:after="40"/>
            </w:pPr>
            <w:r>
              <w:rPr>
                <w:sz w:val="18"/>
                <w:szCs w:val="18"/>
              </w:rPr>
              <w:t>Oui</w:t>
            </w:r>
          </w:p>
        </w:tc>
      </w:tr>
    </w:tbl>
    <w:p w14:paraId="7C03B0D5" w14:textId="77777777" w:rsidR="00A8388D" w:rsidRDefault="00A8388D">
      <w:pPr>
        <w:spacing w:after="120" w:line="276" w:lineRule="auto"/>
        <w:jc w:val="both"/>
      </w:pPr>
    </w:p>
    <w:p w14:paraId="34A3CD6C" w14:textId="77777777" w:rsidR="00A8388D" w:rsidRDefault="00C97429">
      <w:pPr>
        <w:spacing w:after="120" w:line="276" w:lineRule="auto"/>
        <w:jc w:val="both"/>
      </w:pPr>
      <w:r>
        <w:t>L’offre, qu’elle soit présentée par une seule entreprise ou par un groupement, indique tous les sous-traitants connus lors de son dépôt, les prestations dont la sous-traitance est envisagée, ainsi que la dénomination et la qualité des sous-traitants.</w:t>
      </w:r>
    </w:p>
    <w:p w14:paraId="0B0C6D3F" w14:textId="77777777" w:rsidR="00A8388D" w:rsidRDefault="00C97429">
      <w:pPr>
        <w:pStyle w:val="Heading1"/>
        <w:keepNext/>
        <w:spacing w:before="280" w:after="140"/>
      </w:pPr>
      <w:r>
        <w:rPr>
          <w:b/>
          <w:bCs/>
          <w:color w:val="1F3864"/>
          <w:sz w:val="24"/>
          <w:szCs w:val="24"/>
        </w:rPr>
        <w:t>6 – Conditions d’envoi ou de remise des plis</w:t>
      </w:r>
    </w:p>
    <w:p w14:paraId="76C7C886" w14:textId="77777777" w:rsidR="00A8388D" w:rsidRDefault="00C97429">
      <w:pPr>
        <w:spacing w:after="120" w:line="276" w:lineRule="auto"/>
        <w:jc w:val="both"/>
      </w:pPr>
      <w:r>
        <w:t>Les plis devront parvenir à destination avant la date et l’heure limites de réception des offres indiquées sur la page de garde du présent document, fixées de manière à laisser aux candidats un délai d’au moins 25 jours calendaires à compter de la publication de l’avis d’appel à la concurrence. La transmission des plis par voie électronique est imposée pour cette consultation ; la transmission par voie papier n’est pas autorisée.</w:t>
      </w:r>
    </w:p>
    <w:p w14:paraId="6964B72F" w14:textId="77777777" w:rsidR="00A8388D" w:rsidRDefault="00C97429">
      <w:pPr>
        <w:spacing w:after="120" w:line="276" w:lineRule="auto"/>
        <w:jc w:val="both"/>
      </w:pPr>
      <w:r>
        <w:t>La transmission des documents par voie électronique est effectuée sur le profil d’acheteur de l’entité adjudicatrice : https://www.marches-publics.info</w:t>
      </w:r>
    </w:p>
    <w:p w14:paraId="57D485AD" w14:textId="77777777" w:rsidR="00A8388D" w:rsidRDefault="00C97429">
      <w:pPr>
        <w:spacing w:after="120" w:line="276" w:lineRule="auto"/>
        <w:jc w:val="both"/>
      </w:pPr>
      <w:r>
        <w:t>Le pli doit contenir deux dossiers distincts comportant respectivement les pièces de la candidature et les pièces de l’offre définies au présent règlement de la consultation.</w:t>
      </w:r>
    </w:p>
    <w:p w14:paraId="0F192481" w14:textId="77777777" w:rsidR="00A8388D" w:rsidRDefault="00C97429">
      <w:pPr>
        <w:spacing w:after="120" w:line="276" w:lineRule="auto"/>
        <w:jc w:val="both"/>
      </w:pPr>
      <w:r>
        <w:t>Chaque transmission fera l’objet d’une date certaine de réception et d’un accusé de réception électronique. Le fuseau horaire de référence est celui de GMT + 3 (Indian/Mayotte). Le pli sera considéré « hors délai » si le téléchargement se termine après la date et l’heure limites de réception des offres. Si plusieurs plis sont transmis successivement par le même candidat, seul le dernier pli transmis dans le délai imparti est pris en compte ; il doit par conséquent contenir l’ensemble des pièces exigées.</w:t>
      </w:r>
    </w:p>
    <w:p w14:paraId="529A167E" w14:textId="77777777" w:rsidR="00A8388D" w:rsidRDefault="00C97429">
      <w:pPr>
        <w:pStyle w:val="Heading1"/>
        <w:keepNext/>
        <w:spacing w:before="280" w:after="140"/>
      </w:pPr>
      <w:r>
        <w:rPr>
          <w:b/>
          <w:bCs/>
          <w:color w:val="1F3864"/>
          <w:sz w:val="24"/>
          <w:szCs w:val="24"/>
        </w:rPr>
        <w:t>7 – Examen des candidatures et des offres</w:t>
      </w:r>
    </w:p>
    <w:p w14:paraId="7C5DD15D" w14:textId="77777777" w:rsidR="00A8388D" w:rsidRDefault="00C97429">
      <w:pPr>
        <w:pStyle w:val="Heading2"/>
        <w:keepNext/>
        <w:spacing w:before="200" w:after="100"/>
      </w:pPr>
      <w:r>
        <w:rPr>
          <w:b/>
          <w:bCs/>
          <w:color w:val="1F3864"/>
          <w:sz w:val="21"/>
          <w:szCs w:val="21"/>
        </w:rPr>
        <w:t>7.1 – Sélection des candidatures</w:t>
      </w:r>
    </w:p>
    <w:p w14:paraId="3635C4B6" w14:textId="77777777" w:rsidR="00A8388D" w:rsidRDefault="00C97429">
      <w:pPr>
        <w:spacing w:after="120" w:line="276" w:lineRule="auto"/>
        <w:jc w:val="both"/>
      </w:pPr>
      <w:r>
        <w:t>Avant de procéder à l’examen des candidatures, s’il apparaît que des pièces du dossier de candidature sont manquantes ou incomplètes, l’acheteur peut décider de demander à tous les candidats concernés de produire ou compléter ces pièces dans un délai maximum de 10 jours.</w:t>
      </w:r>
    </w:p>
    <w:p w14:paraId="47C8518F" w14:textId="77777777" w:rsidR="00A8388D" w:rsidRDefault="00C97429">
      <w:pPr>
        <w:spacing w:after="120" w:line="276" w:lineRule="auto"/>
        <w:jc w:val="both"/>
      </w:pPr>
      <w:r>
        <w:t>Les candidatures conformes et recevables sont examinées, à partir des seuls renseignements et documents exigés dans le cadre de la présente consultation, pour évaluer la situation juridique ainsi que les capacités professionnelles, techniques et financières des candidats.</w:t>
      </w:r>
    </w:p>
    <w:p w14:paraId="6AEDB3D0" w14:textId="77777777" w:rsidR="00A8388D" w:rsidRDefault="00C97429">
      <w:pPr>
        <w:pStyle w:val="Heading2"/>
        <w:keepNext/>
        <w:spacing w:before="200" w:after="100"/>
      </w:pPr>
      <w:r>
        <w:rPr>
          <w:b/>
          <w:bCs/>
          <w:color w:val="1F3864"/>
          <w:sz w:val="21"/>
          <w:szCs w:val="21"/>
        </w:rPr>
        <w:t>7.2 – Attribution du marché</w:t>
      </w:r>
    </w:p>
    <w:p w14:paraId="3C181CBD" w14:textId="77777777" w:rsidR="00A8388D" w:rsidRDefault="00C97429">
      <w:pPr>
        <w:spacing w:after="120" w:line="276" w:lineRule="auto"/>
        <w:jc w:val="both"/>
      </w:pPr>
      <w:r>
        <w:t>Les critères retenus pour le jugement des offres sont pondérés de la manière suivante :</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800"/>
        <w:gridCol w:w="2500"/>
      </w:tblGrid>
      <w:tr w:rsidR="00A8388D" w14:paraId="167DA7B5" w14:textId="77777777">
        <w:trPr>
          <w:tblHeader/>
        </w:trPr>
        <w:tc>
          <w:tcPr>
            <w:tcW w:w="6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041340FA" w14:textId="77777777" w:rsidR="00A8388D" w:rsidRDefault="00C97429">
            <w:pPr>
              <w:spacing w:after="40"/>
            </w:pPr>
            <w:r>
              <w:rPr>
                <w:b/>
                <w:bCs/>
                <w:sz w:val="18"/>
                <w:szCs w:val="18"/>
              </w:rPr>
              <w:t>Critères et sous-critères</w:t>
            </w:r>
          </w:p>
        </w:tc>
        <w:tc>
          <w:tcPr>
            <w:tcW w:w="25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tcPr>
          <w:p w14:paraId="71B060C7" w14:textId="77777777" w:rsidR="00A8388D" w:rsidRDefault="00C97429">
            <w:pPr>
              <w:spacing w:after="40"/>
            </w:pPr>
            <w:r>
              <w:rPr>
                <w:b/>
                <w:bCs/>
                <w:sz w:val="18"/>
                <w:szCs w:val="18"/>
              </w:rPr>
              <w:t>Pondération</w:t>
            </w:r>
          </w:p>
        </w:tc>
      </w:tr>
      <w:tr w:rsidR="00A8388D" w14:paraId="201B3CC6"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D979681" w14:textId="77777777" w:rsidR="00A8388D" w:rsidRDefault="00C97429">
            <w:pPr>
              <w:spacing w:after="40"/>
            </w:pPr>
            <w:r>
              <w:rPr>
                <w:b/>
                <w:bCs/>
                <w:sz w:val="18"/>
                <w:szCs w:val="18"/>
              </w:rPr>
              <w:t>1 – Prix de l’offre</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B75C534" w14:textId="77777777" w:rsidR="00A8388D" w:rsidRDefault="00C97429">
            <w:pPr>
              <w:spacing w:after="40"/>
            </w:pPr>
            <w:r>
              <w:rPr>
                <w:b/>
                <w:bCs/>
                <w:sz w:val="18"/>
                <w:szCs w:val="18"/>
              </w:rPr>
              <w:t>30 %</w:t>
            </w:r>
          </w:p>
        </w:tc>
      </w:tr>
      <w:tr w:rsidR="00A8388D" w14:paraId="6A1C3D33"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4FF74C86" w14:textId="77777777" w:rsidR="00A8388D" w:rsidRDefault="00C97429">
            <w:pPr>
              <w:spacing w:after="40"/>
            </w:pPr>
            <w:r>
              <w:rPr>
                <w:b/>
                <w:bCs/>
                <w:sz w:val="18"/>
                <w:szCs w:val="18"/>
              </w:rPr>
              <w:t>2 – Valeur technique</w:t>
            </w:r>
            <w:r>
              <w:rPr>
                <w:sz w:val="18"/>
                <w:szCs w:val="18"/>
              </w:rPr>
              <w:t>, appréciée au regard du mémoire technique et du planning détaillé</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D3F8D4A" w14:textId="77777777" w:rsidR="00A8388D" w:rsidRDefault="00C97429">
            <w:pPr>
              <w:spacing w:after="40"/>
            </w:pPr>
            <w:r>
              <w:rPr>
                <w:b/>
                <w:bCs/>
                <w:sz w:val="18"/>
                <w:szCs w:val="18"/>
              </w:rPr>
              <w:t>70 %</w:t>
            </w:r>
          </w:p>
        </w:tc>
      </w:tr>
      <w:tr w:rsidR="00A8388D" w14:paraId="24AC64F3"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64CE41" w14:textId="77777777" w:rsidR="00A8388D" w:rsidRDefault="00C97429">
            <w:pPr>
              <w:spacing w:after="40"/>
            </w:pPr>
            <w:r>
              <w:rPr>
                <w:sz w:val="18"/>
                <w:szCs w:val="18"/>
              </w:rPr>
              <w:t>2.1 – Compréhension des enjeux</w:t>
            </w:r>
          </w:p>
          <w:p w14:paraId="2E496FB4" w14:textId="77777777" w:rsidR="00A8388D" w:rsidRDefault="00C97429">
            <w:pPr>
              <w:spacing w:after="40"/>
            </w:pPr>
            <w:r>
              <w:rPr>
                <w:sz w:val="18"/>
                <w:szCs w:val="18"/>
              </w:rPr>
              <w:t>– compréhension des enjeux du projet de remplacement de l’ERP pour EDM et de l’articulation de la mission avec la consultation en cours ;</w:t>
            </w:r>
          </w:p>
          <w:p w14:paraId="524F08EF" w14:textId="77777777" w:rsidR="00A8388D" w:rsidRDefault="00C97429">
            <w:pPr>
              <w:spacing w:after="40"/>
            </w:pPr>
            <w:r>
              <w:rPr>
                <w:sz w:val="18"/>
                <w:szCs w:val="18"/>
              </w:rPr>
              <w:t>– identification des contraintes du projet (calendrier, disponibilité des équipes métier, domaines réglementaires dont la CRE et la concession).</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D1689AC" w14:textId="77777777" w:rsidR="00A8388D" w:rsidRDefault="00C97429">
            <w:pPr>
              <w:spacing w:after="40"/>
            </w:pPr>
            <w:r>
              <w:rPr>
                <w:sz w:val="18"/>
                <w:szCs w:val="18"/>
              </w:rPr>
              <w:t>20 %</w:t>
            </w:r>
          </w:p>
        </w:tc>
      </w:tr>
      <w:tr w:rsidR="00A8388D" w14:paraId="21FA0679"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4A9937A" w14:textId="77777777" w:rsidR="00A8388D" w:rsidRDefault="00C97429">
            <w:pPr>
              <w:spacing w:after="40"/>
            </w:pPr>
            <w:r>
              <w:rPr>
                <w:sz w:val="18"/>
                <w:szCs w:val="18"/>
              </w:rPr>
              <w:t>2.2 – Méthodologie et mode opératoire</w:t>
            </w:r>
          </w:p>
          <w:p w14:paraId="788B5096" w14:textId="77777777" w:rsidR="00A8388D" w:rsidRDefault="00C97429">
            <w:pPr>
              <w:spacing w:after="40"/>
            </w:pPr>
            <w:r>
              <w:rPr>
                <w:sz w:val="18"/>
                <w:szCs w:val="18"/>
              </w:rPr>
              <w:t>– méthodologie proposée pour chaque volet (processus, objets et workflows, référentiels, habilitations, reprise des données, interfaces, indicateurs) ;</w:t>
            </w:r>
          </w:p>
          <w:p w14:paraId="139F7D36" w14:textId="77777777" w:rsidR="00A8388D" w:rsidRDefault="00C97429">
            <w:pPr>
              <w:spacing w:after="40"/>
            </w:pPr>
            <w:r>
              <w:rPr>
                <w:sz w:val="18"/>
                <w:szCs w:val="18"/>
              </w:rPr>
              <w:t>– organisation et nombre des ateliers, modalités de mobilisation et de validation par les équipes d’EDM ;</w:t>
            </w:r>
          </w:p>
          <w:p w14:paraId="689337B0" w14:textId="77777777" w:rsidR="00A8388D" w:rsidRDefault="00C97429">
            <w:pPr>
              <w:spacing w:after="40"/>
            </w:pPr>
            <w:r>
              <w:rPr>
                <w:sz w:val="18"/>
                <w:szCs w:val="18"/>
              </w:rPr>
              <w:t>– nature, contenu et forme des livrables, et leur exploitabilité par le futur intégrateur.</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2CC482E" w14:textId="77777777" w:rsidR="00A8388D" w:rsidRDefault="00C97429">
            <w:pPr>
              <w:spacing w:after="40"/>
            </w:pPr>
            <w:r>
              <w:rPr>
                <w:sz w:val="18"/>
                <w:szCs w:val="18"/>
              </w:rPr>
              <w:t>20 %</w:t>
            </w:r>
          </w:p>
        </w:tc>
      </w:tr>
      <w:tr w:rsidR="00A8388D" w14:paraId="44BC20B8"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FD709E1" w14:textId="77777777" w:rsidR="00A8388D" w:rsidRDefault="00C97429">
            <w:pPr>
              <w:spacing w:after="40"/>
            </w:pPr>
            <w:r>
              <w:rPr>
                <w:sz w:val="18"/>
                <w:szCs w:val="18"/>
              </w:rPr>
              <w:t>2.3 – Composition, qualification et expérience de l’équipe affectée à la mission</w:t>
            </w:r>
          </w:p>
          <w:p w14:paraId="47A2BFE0" w14:textId="77777777" w:rsidR="00A8388D" w:rsidRDefault="00C97429">
            <w:pPr>
              <w:spacing w:after="40"/>
            </w:pPr>
            <w:r>
              <w:rPr>
                <w:sz w:val="18"/>
                <w:szCs w:val="18"/>
              </w:rPr>
              <w:t>– organisation de l’équipe, rôles et gouvernance ;</w:t>
            </w:r>
          </w:p>
          <w:p w14:paraId="49A7C49F" w14:textId="77777777" w:rsidR="00A8388D" w:rsidRDefault="00C97429">
            <w:pPr>
              <w:spacing w:after="40"/>
            </w:pPr>
            <w:r>
              <w:rPr>
                <w:sz w:val="18"/>
                <w:szCs w:val="18"/>
              </w:rPr>
              <w:t>– qualification et expérience des intervenants nommément désignés sur des missions comparables ;</w:t>
            </w:r>
          </w:p>
          <w:p w14:paraId="442EF635" w14:textId="77777777" w:rsidR="00A8388D" w:rsidRDefault="00C97429">
            <w:pPr>
              <w:spacing w:after="40"/>
            </w:pPr>
            <w:r>
              <w:rPr>
                <w:sz w:val="18"/>
                <w:szCs w:val="18"/>
              </w:rPr>
              <w:t>– présence sur site prévue à Mayotte.</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8A81F0D" w14:textId="77777777" w:rsidR="00A8388D" w:rsidRDefault="00C97429">
            <w:pPr>
              <w:spacing w:after="40"/>
            </w:pPr>
            <w:r>
              <w:rPr>
                <w:sz w:val="18"/>
                <w:szCs w:val="18"/>
              </w:rPr>
              <w:t>20 %</w:t>
            </w:r>
          </w:p>
        </w:tc>
      </w:tr>
      <w:tr w:rsidR="00A8388D" w14:paraId="5304DBAF" w14:textId="77777777">
        <w:tc>
          <w:tcPr>
            <w:tcW w:w="6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0401B5F" w14:textId="77777777" w:rsidR="00A8388D" w:rsidRDefault="00C97429">
            <w:pPr>
              <w:spacing w:after="40"/>
            </w:pPr>
            <w:r>
              <w:rPr>
                <w:sz w:val="18"/>
                <w:szCs w:val="18"/>
              </w:rPr>
              <w:t>2.4 – Planning détaillé</w:t>
            </w:r>
          </w:p>
          <w:p w14:paraId="3666CDE6" w14:textId="77777777" w:rsidR="00A8388D" w:rsidRDefault="00C97429">
            <w:pPr>
              <w:spacing w:after="40"/>
            </w:pPr>
            <w:r>
              <w:rPr>
                <w:sz w:val="18"/>
                <w:szCs w:val="18"/>
              </w:rPr>
              <w:t>– cohérence du planning avec les échéances du projet, notamment la remise des livrables du volet 1 avant le choix de l’ERP ;</w:t>
            </w:r>
          </w:p>
          <w:p w14:paraId="20F5C7DA" w14:textId="77777777" w:rsidR="00A8388D" w:rsidRDefault="00C97429">
            <w:pPr>
              <w:spacing w:after="40"/>
            </w:pPr>
            <w:r>
              <w:rPr>
                <w:sz w:val="18"/>
                <w:szCs w:val="18"/>
              </w:rPr>
              <w:t>– identification des jalons, points de validation et livrables ;</w:t>
            </w:r>
          </w:p>
          <w:p w14:paraId="1000A926" w14:textId="77777777" w:rsidR="00A8388D" w:rsidRDefault="00C97429">
            <w:pPr>
              <w:spacing w:after="40"/>
            </w:pPr>
            <w:r>
              <w:rPr>
                <w:sz w:val="18"/>
                <w:szCs w:val="18"/>
              </w:rPr>
              <w:t>– réalisme des durées et articulation avec les ressources mobilisées.</w:t>
            </w:r>
          </w:p>
        </w:tc>
        <w:tc>
          <w:tcPr>
            <w:tcW w:w="25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465DE11" w14:textId="77777777" w:rsidR="00A8388D" w:rsidRDefault="00C97429">
            <w:pPr>
              <w:spacing w:after="40"/>
            </w:pPr>
            <w:r>
              <w:rPr>
                <w:sz w:val="18"/>
                <w:szCs w:val="18"/>
              </w:rPr>
              <w:t>10 %</w:t>
            </w:r>
          </w:p>
        </w:tc>
      </w:tr>
    </w:tbl>
    <w:p w14:paraId="7C6CBA89" w14:textId="77777777" w:rsidR="00A8388D" w:rsidRDefault="00A8388D">
      <w:pPr>
        <w:spacing w:after="120" w:line="276" w:lineRule="auto"/>
        <w:jc w:val="both"/>
      </w:pPr>
    </w:p>
    <w:p w14:paraId="723D2489" w14:textId="77777777" w:rsidR="00A8388D" w:rsidRDefault="00C97429">
      <w:pPr>
        <w:spacing w:after="120" w:line="276" w:lineRule="auto"/>
        <w:jc w:val="both"/>
      </w:pPr>
      <w:r>
        <w:rPr>
          <w:b/>
          <w:bCs/>
        </w:rPr>
        <w:t>Critère prix (note sur 10).</w:t>
      </w:r>
      <w:r>
        <w:t xml:space="preserve"> Le prix pris en compte est le montant total de l’offre, égal à la somme du prix global et forfaitaire de la tranche ferme et du prix global et forfaitaire de la tranche optionnelle, tels qu’ils résultent de la DPGF. La note est calculée selon la formule : (prix de l’offre moins-disante / prix de l’offre) x 10.</w:t>
      </w:r>
    </w:p>
    <w:p w14:paraId="2EAF84E5" w14:textId="77777777" w:rsidR="00A8388D" w:rsidRDefault="00C97429">
      <w:pPr>
        <w:spacing w:after="120" w:line="276" w:lineRule="auto"/>
        <w:jc w:val="both"/>
      </w:pPr>
      <w:r>
        <w:rPr>
          <w:b/>
          <w:bCs/>
        </w:rPr>
        <w:t>Critère valeur technique (note sur 10).</w:t>
      </w:r>
      <w:r>
        <w:t xml:space="preserve"> Chaque sous-critère est noté de 0 à 10, puis affecté de sa pondération.</w:t>
      </w:r>
    </w:p>
    <w:p w14:paraId="1E8A190A" w14:textId="77777777" w:rsidR="00A8388D" w:rsidRDefault="00C97429">
      <w:pPr>
        <w:pStyle w:val="Heading2"/>
        <w:keepNext/>
        <w:spacing w:before="200" w:after="100"/>
      </w:pPr>
      <w:r>
        <w:rPr>
          <w:b/>
          <w:bCs/>
          <w:color w:val="1F3864"/>
          <w:sz w:val="21"/>
          <w:szCs w:val="21"/>
        </w:rPr>
        <w:t>7.3 – Suite à donner à la consultation</w:t>
      </w:r>
    </w:p>
    <w:p w14:paraId="32EF51ED" w14:textId="77777777" w:rsidR="00A8388D" w:rsidRDefault="00C97429">
      <w:pPr>
        <w:spacing w:after="120" w:line="276" w:lineRule="auto"/>
        <w:jc w:val="both"/>
      </w:pPr>
      <w:r>
        <w:t>L’offre la mieux classée est retenue à titre provisoire en attendant que le candidat produise les certificats et attestations prévus aux articles R. 2143-6 à R. 2143-10 du code de la commande publique. Le délai imparti par l’acheteur pour remettre ces documents ne pourra être supérieur à 10 jours.</w:t>
      </w:r>
    </w:p>
    <w:p w14:paraId="2226BAE7" w14:textId="77777777" w:rsidR="00A8388D" w:rsidRDefault="00C97429">
      <w:pPr>
        <w:pStyle w:val="Heading1"/>
        <w:keepNext/>
        <w:spacing w:before="280" w:after="140"/>
      </w:pPr>
      <w:r>
        <w:rPr>
          <w:b/>
          <w:bCs/>
          <w:color w:val="1F3864"/>
          <w:sz w:val="24"/>
          <w:szCs w:val="24"/>
        </w:rPr>
        <w:t>8 – Renseignements complémentaires</w:t>
      </w:r>
    </w:p>
    <w:p w14:paraId="42DD0689" w14:textId="77777777" w:rsidR="00A8388D" w:rsidRDefault="00C97429">
      <w:pPr>
        <w:pStyle w:val="Heading2"/>
        <w:keepNext/>
        <w:spacing w:before="200" w:after="100"/>
      </w:pPr>
      <w:r>
        <w:rPr>
          <w:b/>
          <w:bCs/>
          <w:color w:val="1F3864"/>
          <w:sz w:val="21"/>
          <w:szCs w:val="21"/>
        </w:rPr>
        <w:t>8.1 – Adresses supplémentaires et points de contact</w:t>
      </w:r>
    </w:p>
    <w:p w14:paraId="34508EB6" w14:textId="77777777" w:rsidR="00A8388D" w:rsidRDefault="00C97429">
      <w:pPr>
        <w:spacing w:after="120" w:line="276" w:lineRule="auto"/>
        <w:jc w:val="both"/>
      </w:pPr>
      <w:r>
        <w:t>Pour tout renseignement complémentaire concernant cette consultation, les candidats transmettent impérativement leur demande par l’intermédiaire du profil d’acheteur, dont l’adresse URL est la suivante : https://www.marches-publics.info</w:t>
      </w:r>
    </w:p>
    <w:p w14:paraId="117FA6E6" w14:textId="77777777" w:rsidR="00A8388D" w:rsidRDefault="00C97429">
      <w:pPr>
        <w:spacing w:after="120" w:line="276" w:lineRule="auto"/>
        <w:jc w:val="both"/>
      </w:pPr>
      <w:r>
        <w:t>Cette demande doit intervenir au plus tard 7 jours avant la date limite de remise des plis. Une réponse sera alors adressée à toutes les entreprises ayant retiré le dossier ou l’ayant téléchargé après identification, 5 jours au plus tard avant la date limite de remise des plis.</w:t>
      </w:r>
    </w:p>
    <w:p w14:paraId="693283AB" w14:textId="77777777" w:rsidR="00A8388D" w:rsidRDefault="00C97429">
      <w:pPr>
        <w:pStyle w:val="Heading2"/>
        <w:keepNext/>
        <w:spacing w:before="200" w:after="100"/>
      </w:pPr>
      <w:r>
        <w:rPr>
          <w:b/>
          <w:bCs/>
          <w:color w:val="1F3864"/>
          <w:sz w:val="21"/>
          <w:szCs w:val="21"/>
        </w:rPr>
        <w:t>8.2 – Procédures de recours</w:t>
      </w:r>
    </w:p>
    <w:p w14:paraId="51F22737" w14:textId="77777777" w:rsidR="00A8388D" w:rsidRDefault="00C97429">
      <w:pPr>
        <w:spacing w:after="120" w:line="276" w:lineRule="auto"/>
        <w:jc w:val="both"/>
      </w:pPr>
      <w:r>
        <w:t>Le tribunal territorialement compétent est : Tribunal judiciaire de Saint-Denis de La Réunion – 5 avenue André Malraux, CS 81027, 97495 Sainte-Clotilde Cedex – Tél. : +33 2 62 40 23 45 – accueil.tj-st-denis-de-la-reunion@justice.fr</w:t>
      </w:r>
    </w:p>
    <w:p w14:paraId="51D738A1" w14:textId="77777777" w:rsidR="00A8388D" w:rsidRDefault="00C97429">
      <w:pPr>
        <w:spacing w:after="120" w:line="276" w:lineRule="auto"/>
        <w:jc w:val="both"/>
      </w:pPr>
      <w:r>
        <w:t>Les voies de recours ouvertes aux candidats sont les suivantes :</w:t>
      </w:r>
    </w:p>
    <w:p w14:paraId="48A4558D" w14:textId="77777777" w:rsidR="00A8388D" w:rsidRDefault="00C97429">
      <w:pPr>
        <w:pStyle w:val="ListParagraph"/>
        <w:numPr>
          <w:ilvl w:val="0"/>
          <w:numId w:val="1"/>
        </w:numPr>
        <w:spacing w:after="60" w:line="276" w:lineRule="auto"/>
        <w:jc w:val="both"/>
      </w:pPr>
      <w:r>
        <w:t>introduction d’un référé précontractuel jusqu’à la signature du marché, dans les conditions prévues aux articles 2 et suivants de l’ordonnance n° 2009-515 du 7 mai 2009 et aux articles 1441-1 à 1441-3-1 du code de procédure civile ;</w:t>
      </w:r>
    </w:p>
    <w:p w14:paraId="6372CCA0" w14:textId="77777777" w:rsidR="00A8388D" w:rsidRDefault="00C97429">
      <w:pPr>
        <w:pStyle w:val="ListParagraph"/>
        <w:numPr>
          <w:ilvl w:val="0"/>
          <w:numId w:val="1"/>
        </w:numPr>
        <w:spacing w:after="60" w:line="276" w:lineRule="auto"/>
        <w:jc w:val="both"/>
      </w:pPr>
      <w:r>
        <w:t>introduction d’un référé contractuel après la conclusion du marché, dans les conditions et délais prévus aux articles 2 et suivants de l’ordonnance n° 2009-515 du 7 mai 2009 et aux articles 1441-1 à 1441-3-1 du code de procédure civile.</w:t>
      </w:r>
    </w:p>
    <w:sectPr w:rsidR="00A8388D">
      <w:headerReference w:type="default" r:id="rId10"/>
      <w:footerReference w:type="default" r:id="rId11"/>
      <w:pgSz w:w="11906" w:h="16838"/>
      <w:pgMar w:top="1300" w:right="1300" w:bottom="12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5E599" w14:textId="77777777" w:rsidR="00C142E6" w:rsidRDefault="00C142E6">
      <w:r>
        <w:separator/>
      </w:r>
    </w:p>
  </w:endnote>
  <w:endnote w:type="continuationSeparator" w:id="0">
    <w:p w14:paraId="76EDE30C" w14:textId="77777777" w:rsidR="00C142E6" w:rsidRDefault="00C1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F5CF0" w14:textId="77777777" w:rsidR="00A8388D" w:rsidRDefault="00C97429">
    <w:pPr>
      <w:jc w:val="center"/>
    </w:pPr>
    <w:r>
      <w:rPr>
        <w:sz w:val="16"/>
        <w:szCs w:val="16"/>
      </w:rPr>
      <w:t xml:space="preserve">Page </w:t>
    </w:r>
    <w:r>
      <w:rPr>
        <w:sz w:val="16"/>
        <w:szCs w:val="16"/>
      </w:rPr>
      <w:fldChar w:fldCharType="begin"/>
    </w:r>
    <w:r>
      <w:rPr>
        <w:sz w:val="16"/>
        <w:szCs w:val="16"/>
      </w:rPr>
      <w:instrText>PAGE</w:instrText>
    </w:r>
    <w:r>
      <w:rPr>
        <w:sz w:val="16"/>
        <w:szCs w:val="16"/>
      </w:rPr>
      <w:fldChar w:fldCharType="separate"/>
    </w:r>
    <w:r w:rsidR="00453E5F">
      <w:rPr>
        <w:noProof/>
        <w:sz w:val="16"/>
        <w:szCs w:val="16"/>
      </w:rPr>
      <w:t>1</w:t>
    </w:r>
    <w:r>
      <w:rPr>
        <w:sz w:val="16"/>
        <w:szCs w:val="16"/>
      </w:rPr>
      <w:fldChar w:fldCharType="end"/>
    </w:r>
    <w:r>
      <w:rPr>
        <w:sz w:val="16"/>
        <w:szCs w:val="16"/>
      </w:rPr>
      <w:t xml:space="preserve"> sur </w:t>
    </w:r>
    <w:r>
      <w:rPr>
        <w:sz w:val="16"/>
        <w:szCs w:val="16"/>
      </w:rPr>
      <w:fldChar w:fldCharType="begin"/>
    </w:r>
    <w:r>
      <w:rPr>
        <w:sz w:val="16"/>
        <w:szCs w:val="16"/>
      </w:rPr>
      <w:instrText>NUMPAGES</w:instrText>
    </w:r>
    <w:r>
      <w:rPr>
        <w:sz w:val="16"/>
        <w:szCs w:val="16"/>
      </w:rPr>
      <w:fldChar w:fldCharType="separate"/>
    </w:r>
    <w:r w:rsidR="00453E5F">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1F329" w14:textId="77777777" w:rsidR="00C142E6" w:rsidRDefault="00C142E6">
      <w:r>
        <w:separator/>
      </w:r>
    </w:p>
  </w:footnote>
  <w:footnote w:type="continuationSeparator" w:id="0">
    <w:p w14:paraId="24968516" w14:textId="77777777" w:rsidR="00C142E6" w:rsidRDefault="00C14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7610B" w14:textId="0EB70BBA" w:rsidR="00A8388D" w:rsidRDefault="00C97429">
    <w:pPr>
      <w:pBdr>
        <w:bottom w:val="single" w:sz="4" w:space="4" w:color="808080"/>
      </w:pBdr>
      <w:jc w:val="right"/>
    </w:pPr>
    <w:r>
      <w:rPr>
        <w:color w:val="595959"/>
        <w:sz w:val="16"/>
        <w:szCs w:val="16"/>
      </w:rPr>
      <w:t xml:space="preserve">Électricité de Mayotte – Règlement de la consultation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A0D68"/>
    <w:multiLevelType w:val="hybridMultilevel"/>
    <w:tmpl w:val="1B587F8A"/>
    <w:lvl w:ilvl="0" w:tplc="61CC661E">
      <w:start w:val="1"/>
      <w:numFmt w:val="bullet"/>
      <w:lvlText w:val="●"/>
      <w:lvlJc w:val="left"/>
      <w:pPr>
        <w:ind w:left="720" w:hanging="360"/>
      </w:pPr>
    </w:lvl>
    <w:lvl w:ilvl="1" w:tplc="F8522166">
      <w:start w:val="1"/>
      <w:numFmt w:val="bullet"/>
      <w:lvlText w:val="○"/>
      <w:lvlJc w:val="left"/>
      <w:pPr>
        <w:ind w:left="1440" w:hanging="360"/>
      </w:pPr>
    </w:lvl>
    <w:lvl w:ilvl="2" w:tplc="971EE746">
      <w:start w:val="1"/>
      <w:numFmt w:val="bullet"/>
      <w:lvlText w:val="■"/>
      <w:lvlJc w:val="left"/>
      <w:pPr>
        <w:ind w:left="2160" w:hanging="360"/>
      </w:pPr>
    </w:lvl>
    <w:lvl w:ilvl="3" w:tplc="23FE2E9E">
      <w:start w:val="1"/>
      <w:numFmt w:val="bullet"/>
      <w:lvlText w:val="●"/>
      <w:lvlJc w:val="left"/>
      <w:pPr>
        <w:ind w:left="2880" w:hanging="360"/>
      </w:pPr>
    </w:lvl>
    <w:lvl w:ilvl="4" w:tplc="C5CA7944">
      <w:start w:val="1"/>
      <w:numFmt w:val="bullet"/>
      <w:lvlText w:val="○"/>
      <w:lvlJc w:val="left"/>
      <w:pPr>
        <w:ind w:left="3600" w:hanging="360"/>
      </w:pPr>
    </w:lvl>
    <w:lvl w:ilvl="5" w:tplc="9ECC6F30">
      <w:start w:val="1"/>
      <w:numFmt w:val="bullet"/>
      <w:lvlText w:val="■"/>
      <w:lvlJc w:val="left"/>
      <w:pPr>
        <w:ind w:left="4320" w:hanging="360"/>
      </w:pPr>
    </w:lvl>
    <w:lvl w:ilvl="6" w:tplc="FCFE3368">
      <w:start w:val="1"/>
      <w:numFmt w:val="bullet"/>
      <w:lvlText w:val="●"/>
      <w:lvlJc w:val="left"/>
      <w:pPr>
        <w:ind w:left="5040" w:hanging="360"/>
      </w:pPr>
    </w:lvl>
    <w:lvl w:ilvl="7" w:tplc="9EBE6546">
      <w:start w:val="1"/>
      <w:numFmt w:val="bullet"/>
      <w:lvlText w:val="●"/>
      <w:lvlJc w:val="left"/>
      <w:pPr>
        <w:ind w:left="5760" w:hanging="360"/>
      </w:pPr>
    </w:lvl>
    <w:lvl w:ilvl="8" w:tplc="A9360F4E">
      <w:start w:val="1"/>
      <w:numFmt w:val="bullet"/>
      <w:lvlText w:val="●"/>
      <w:lvlJc w:val="left"/>
      <w:pPr>
        <w:ind w:left="6480" w:hanging="360"/>
      </w:pPr>
    </w:lvl>
  </w:abstractNum>
  <w:abstractNum w:abstractNumId="1" w15:restartNumberingAfterBreak="0">
    <w:nsid w:val="5AEE365F"/>
    <w:multiLevelType w:val="hybridMultilevel"/>
    <w:tmpl w:val="4DFE8FB4"/>
    <w:lvl w:ilvl="0" w:tplc="628E46B4">
      <w:start w:val="1"/>
      <w:numFmt w:val="bullet"/>
      <w:lvlText w:val="–"/>
      <w:lvlJc w:val="left"/>
      <w:pPr>
        <w:ind w:left="567" w:hanging="283"/>
      </w:pPr>
    </w:lvl>
    <w:lvl w:ilvl="1" w:tplc="CEDC6AA0">
      <w:start w:val="1"/>
      <w:numFmt w:val="bullet"/>
      <w:lvlText w:val="•"/>
      <w:lvlJc w:val="left"/>
      <w:pPr>
        <w:ind w:left="1134" w:hanging="283"/>
      </w:pPr>
    </w:lvl>
    <w:lvl w:ilvl="2" w:tplc="EB049ED8">
      <w:numFmt w:val="decimal"/>
      <w:lvlText w:val=""/>
      <w:lvlJc w:val="left"/>
    </w:lvl>
    <w:lvl w:ilvl="3" w:tplc="738AD458">
      <w:numFmt w:val="decimal"/>
      <w:lvlText w:val=""/>
      <w:lvlJc w:val="left"/>
    </w:lvl>
    <w:lvl w:ilvl="4" w:tplc="AD505BC8">
      <w:numFmt w:val="decimal"/>
      <w:lvlText w:val=""/>
      <w:lvlJc w:val="left"/>
    </w:lvl>
    <w:lvl w:ilvl="5" w:tplc="5EC07856">
      <w:numFmt w:val="decimal"/>
      <w:lvlText w:val=""/>
      <w:lvlJc w:val="left"/>
    </w:lvl>
    <w:lvl w:ilvl="6" w:tplc="EDE0357A">
      <w:numFmt w:val="decimal"/>
      <w:lvlText w:val=""/>
      <w:lvlJc w:val="left"/>
    </w:lvl>
    <w:lvl w:ilvl="7" w:tplc="E118F750">
      <w:numFmt w:val="decimal"/>
      <w:lvlText w:val=""/>
      <w:lvlJc w:val="left"/>
    </w:lvl>
    <w:lvl w:ilvl="8" w:tplc="6D1E93FE">
      <w:numFmt w:val="decimal"/>
      <w:lvlText w:val=""/>
      <w:lvlJc w:val="left"/>
    </w:lvl>
  </w:abstractNum>
  <w:num w:numId="1" w16cid:durableId="1157914023">
    <w:abstractNumId w:val="1"/>
    <w:lvlOverride w:ilvl="0">
      <w:startOverride w:val="1"/>
    </w:lvlOverride>
  </w:num>
  <w:num w:numId="2" w16cid:durableId="87655100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88D"/>
    <w:rsid w:val="003C0539"/>
    <w:rsid w:val="00453E5F"/>
    <w:rsid w:val="004621A0"/>
    <w:rsid w:val="004729F7"/>
    <w:rsid w:val="007D29E6"/>
    <w:rsid w:val="00880E03"/>
    <w:rsid w:val="009D6628"/>
    <w:rsid w:val="00A8388D"/>
    <w:rsid w:val="00B105CB"/>
    <w:rsid w:val="00B15F91"/>
    <w:rsid w:val="00B16CEC"/>
    <w:rsid w:val="00C142E6"/>
    <w:rsid w:val="00C97429"/>
    <w:rsid w:val="00CF37D1"/>
    <w:rsid w:val="00D40F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F22EC76"/>
  <w15:docId w15:val="{2CA1C31C-38F4-4E3E-83A4-2551380CE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lev1">
    <w:name w:val="Élevé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53E5F"/>
    <w:pPr>
      <w:tabs>
        <w:tab w:val="center" w:pos="4536"/>
        <w:tab w:val="right" w:pos="9072"/>
      </w:tabs>
    </w:pPr>
  </w:style>
  <w:style w:type="character" w:customStyle="1" w:styleId="HeaderChar">
    <w:name w:val="Header Char"/>
    <w:basedOn w:val="DefaultParagraphFont"/>
    <w:link w:val="Header"/>
    <w:uiPriority w:val="99"/>
    <w:rsid w:val="00453E5F"/>
  </w:style>
  <w:style w:type="paragraph" w:styleId="Footer">
    <w:name w:val="footer"/>
    <w:basedOn w:val="Normal"/>
    <w:link w:val="FooterChar"/>
    <w:uiPriority w:val="99"/>
    <w:unhideWhenUsed/>
    <w:rsid w:val="00453E5F"/>
    <w:pPr>
      <w:tabs>
        <w:tab w:val="center" w:pos="4536"/>
        <w:tab w:val="right" w:pos="9072"/>
      </w:tabs>
    </w:pPr>
  </w:style>
  <w:style w:type="character" w:customStyle="1" w:styleId="FooterChar">
    <w:name w:val="Footer Char"/>
    <w:basedOn w:val="DefaultParagraphFont"/>
    <w:link w:val="Footer"/>
    <w:uiPriority w:val="99"/>
    <w:rsid w:val="00453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325A3EE591A74DAC8335A68EA95F98" ma:contentTypeVersion="14" ma:contentTypeDescription="Crée un document." ma:contentTypeScope="" ma:versionID="f85d0fdbd747ec44bca0dd396f1cf3e2">
  <xsd:schema xmlns:xsd="http://www.w3.org/2001/XMLSchema" xmlns:xs="http://www.w3.org/2001/XMLSchema" xmlns:p="http://schemas.microsoft.com/office/2006/metadata/properties" xmlns:ns2="a5da7f1e-a764-4698-8204-e585c7650f13" xmlns:ns3="161e7568-8a68-4295-a94d-2afb65c66b7d" targetNamespace="http://schemas.microsoft.com/office/2006/metadata/properties" ma:root="true" ma:fieldsID="e24f59e80fc4de514f7ebf500fc4b5b3" ns2:_="" ns3:_="">
    <xsd:import namespace="a5da7f1e-a764-4698-8204-e585c7650f13"/>
    <xsd:import namespace="161e7568-8a68-4295-a94d-2afb65c66b7d"/>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da7f1e-a764-4698-8204-e585c7650f1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9" nillable="true" ma:displayName="Taxonomy Catch All Column" ma:hidden="true" ma:list="{86ad4dac-feae-444c-b649-bd375a04e8d4}" ma:internalName="TaxCatchAll" ma:showField="CatchAllData" ma:web="a5da7f1e-a764-4698-8204-e585c7650f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1e7568-8a68-4295-a94d-2afb65c66b7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211780ad-ec88-4264-9e17-85f5e4e0318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1e7568-8a68-4295-a94d-2afb65c66b7d">
      <Terms xmlns="http://schemas.microsoft.com/office/infopath/2007/PartnerControls"/>
    </lcf76f155ced4ddcb4097134ff3c332f>
    <TaxCatchAll xmlns="a5da7f1e-a764-4698-8204-e585c7650f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4CB65-CD4B-43BD-9697-D7E024696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da7f1e-a764-4698-8204-e585c7650f13"/>
    <ds:schemaRef ds:uri="161e7568-8a68-4295-a94d-2afb65c66b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3CBDC8-5DE0-4C10-AE65-3C13F2DFC70E}">
  <ds:schemaRefs>
    <ds:schemaRef ds:uri="http://schemas.microsoft.com/office/2006/metadata/properties"/>
    <ds:schemaRef ds:uri="http://schemas.microsoft.com/office/infopath/2007/PartnerControls"/>
    <ds:schemaRef ds:uri="161e7568-8a68-4295-a94d-2afb65c66b7d"/>
    <ds:schemaRef ds:uri="a5da7f1e-a764-4698-8204-e585c7650f13"/>
  </ds:schemaRefs>
</ds:datastoreItem>
</file>

<file path=customXml/itemProps3.xml><?xml version="1.0" encoding="utf-8"?>
<ds:datastoreItem xmlns:ds="http://schemas.openxmlformats.org/officeDocument/2006/customXml" ds:itemID="{622D13E4-F3FE-4BF2-8310-E95B0F6B4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2715</Words>
  <Characters>15480</Characters>
  <Application>Microsoft Office Word</Application>
  <DocSecurity>4</DocSecurity>
  <Lines>129</Lines>
  <Paragraphs>36</Paragraphs>
  <ScaleCrop>false</ScaleCrop>
  <Company/>
  <LinksUpToDate>false</LinksUpToDate>
  <CharactersWithSpaces>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Louis GRABER</cp:lastModifiedBy>
  <cp:revision>1</cp:revision>
  <dcterms:created xsi:type="dcterms:W3CDTF">2026-10-28T08:54:00Z</dcterms:created>
  <dcterms:modified xsi:type="dcterms:W3CDTF">2026-10-28T12:36:00Z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0x010100F8325A3EE591A74DAC8335A68EA95F98</vt:lpwstr>
  </property>
  <property fmtid="{D5CDD505-2E9C-101B-9397-08002B2CF9AE}" pid="3" name="MediaServiceImageTags">
    <vt:lpwstr/>
  </property>
</Properties>
</file>