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D49AC" w14:textId="0438E273" w:rsidR="003A4209" w:rsidRDefault="009B24AF">
      <w:pPr>
        <w:ind w:right="5800"/>
        <w:rPr>
          <w:sz w:val="2"/>
        </w:rPr>
      </w:pPr>
      <w:r>
        <w:rPr>
          <w:noProof/>
        </w:rPr>
        <w:drawing>
          <wp:inline distT="0" distB="0" distL="0" distR="0" wp14:anchorId="7ECF132A" wp14:editId="3DF89354">
            <wp:extent cx="2428875" cy="97282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28875" cy="972820"/>
                    </a:xfrm>
                    <a:prstGeom prst="rect">
                      <a:avLst/>
                    </a:prstGeom>
                    <a:noFill/>
                    <a:ln>
                      <a:noFill/>
                    </a:ln>
                  </pic:spPr>
                </pic:pic>
              </a:graphicData>
            </a:graphic>
          </wp:inline>
        </w:drawing>
      </w:r>
    </w:p>
    <w:p w14:paraId="14B04E16" w14:textId="77777777" w:rsidR="003A4209" w:rsidRDefault="003A4209">
      <w:pPr>
        <w:spacing w:after="160" w:line="240" w:lineRule="exact"/>
      </w:pPr>
    </w:p>
    <w:tbl>
      <w:tblPr>
        <w:tblW w:w="0" w:type="auto"/>
        <w:tblLayout w:type="fixed"/>
        <w:tblLook w:val="04A0" w:firstRow="1" w:lastRow="0" w:firstColumn="1" w:lastColumn="0" w:noHBand="0" w:noVBand="1"/>
      </w:tblPr>
      <w:tblGrid>
        <w:gridCol w:w="9620"/>
      </w:tblGrid>
      <w:tr w:rsidR="003A4209" w14:paraId="6D41066E" w14:textId="77777777">
        <w:tc>
          <w:tcPr>
            <w:tcW w:w="9620" w:type="dxa"/>
            <w:shd w:val="clear" w:color="666553" w:fill="666553"/>
            <w:tcMar>
              <w:top w:w="30" w:type="dxa"/>
              <w:left w:w="0" w:type="dxa"/>
              <w:bottom w:w="0" w:type="dxa"/>
              <w:right w:w="0" w:type="dxa"/>
            </w:tcMar>
            <w:vAlign w:val="center"/>
          </w:tcPr>
          <w:p w14:paraId="4AB06C8C" w14:textId="77777777" w:rsidR="003A4209" w:rsidRDefault="009B24AF">
            <w:pPr>
              <w:jc w:val="center"/>
              <w:rPr>
                <w:rFonts w:ascii="Tahoma" w:eastAsia="Tahoma" w:hAnsi="Tahoma" w:cs="Tahoma"/>
                <w:b/>
                <w:color w:val="FFFFFF"/>
                <w:sz w:val="28"/>
                <w:lang w:val="fr-FR"/>
              </w:rPr>
            </w:pPr>
            <w:r>
              <w:rPr>
                <w:rFonts w:ascii="Tahoma" w:eastAsia="Tahoma" w:hAnsi="Tahoma" w:cs="Tahoma"/>
                <w:b/>
                <w:color w:val="FFFFFF"/>
                <w:sz w:val="28"/>
                <w:lang w:val="fr-FR"/>
              </w:rPr>
              <w:t>RÈGLEMENT DE LA CONSULTATION</w:t>
            </w:r>
          </w:p>
        </w:tc>
      </w:tr>
    </w:tbl>
    <w:p w14:paraId="72A0A66A" w14:textId="77777777" w:rsidR="003A4209" w:rsidRDefault="009B24AF">
      <w:pPr>
        <w:spacing w:line="240" w:lineRule="exact"/>
      </w:pPr>
      <w:r>
        <w:t xml:space="preserve"> </w:t>
      </w:r>
    </w:p>
    <w:p w14:paraId="181D2579" w14:textId="77777777" w:rsidR="003A4209" w:rsidRDefault="003A4209">
      <w:pPr>
        <w:spacing w:after="120" w:line="240" w:lineRule="exact"/>
      </w:pPr>
    </w:p>
    <w:p w14:paraId="31335B44" w14:textId="77777777" w:rsidR="003A4209" w:rsidRDefault="009B24AF">
      <w:pPr>
        <w:spacing w:before="20"/>
        <w:jc w:val="center"/>
        <w:rPr>
          <w:rFonts w:ascii="Tahoma" w:eastAsia="Tahoma" w:hAnsi="Tahoma" w:cs="Tahoma"/>
          <w:b/>
          <w:color w:val="000000"/>
          <w:sz w:val="28"/>
          <w:lang w:val="fr-FR"/>
        </w:rPr>
      </w:pPr>
      <w:r>
        <w:rPr>
          <w:rFonts w:ascii="Tahoma" w:eastAsia="Tahoma" w:hAnsi="Tahoma" w:cs="Tahoma"/>
          <w:b/>
          <w:color w:val="000000"/>
          <w:sz w:val="28"/>
          <w:lang w:val="fr-FR"/>
        </w:rPr>
        <w:t>ACCORD-CADRE DE FOURNITURES COURANTES ET DE SERVICES</w:t>
      </w:r>
    </w:p>
    <w:p w14:paraId="1A40FE0C" w14:textId="77777777" w:rsidR="003A4209" w:rsidRDefault="003A4209">
      <w:pPr>
        <w:spacing w:line="240" w:lineRule="exact"/>
      </w:pPr>
    </w:p>
    <w:p w14:paraId="4A5ECAA1" w14:textId="77777777" w:rsidR="003A4209" w:rsidRDefault="003A4209">
      <w:pPr>
        <w:spacing w:line="240" w:lineRule="exact"/>
      </w:pPr>
    </w:p>
    <w:p w14:paraId="31906C23" w14:textId="77777777" w:rsidR="003A4209" w:rsidRDefault="003A4209">
      <w:pPr>
        <w:spacing w:line="240" w:lineRule="exact"/>
      </w:pPr>
    </w:p>
    <w:p w14:paraId="0C9158E7" w14:textId="77777777" w:rsidR="003A4209" w:rsidRDefault="003A4209">
      <w:pPr>
        <w:spacing w:line="240" w:lineRule="exact"/>
      </w:pPr>
    </w:p>
    <w:p w14:paraId="3F0C55C2" w14:textId="77777777" w:rsidR="003A4209" w:rsidRDefault="003A4209">
      <w:pPr>
        <w:spacing w:line="240" w:lineRule="exact"/>
      </w:pPr>
    </w:p>
    <w:p w14:paraId="5742C406" w14:textId="77777777" w:rsidR="003A4209" w:rsidRDefault="003A4209">
      <w:pPr>
        <w:spacing w:line="240" w:lineRule="exact"/>
      </w:pPr>
    </w:p>
    <w:p w14:paraId="3766FE23" w14:textId="77777777" w:rsidR="003A4209" w:rsidRDefault="003A4209">
      <w:pPr>
        <w:spacing w:line="240" w:lineRule="exact"/>
      </w:pPr>
    </w:p>
    <w:p w14:paraId="05304408" w14:textId="77777777" w:rsidR="003A4209" w:rsidRDefault="003A4209">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3A4209" w14:paraId="1132D228" w14:textId="77777777">
        <w:trPr>
          <w:trHeight w:val="1075"/>
        </w:trPr>
        <w:tc>
          <w:tcPr>
            <w:tcW w:w="1260" w:type="dxa"/>
            <w:tcMar>
              <w:top w:w="0" w:type="dxa"/>
              <w:left w:w="0" w:type="dxa"/>
              <w:bottom w:w="0" w:type="dxa"/>
              <w:right w:w="0" w:type="dxa"/>
            </w:tcMar>
          </w:tcPr>
          <w:p w14:paraId="27AEAD0A" w14:textId="77777777" w:rsidR="003A4209" w:rsidRDefault="003A4209">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73313312" w14:textId="77777777" w:rsidR="003A4209" w:rsidRDefault="009B24AF">
            <w:pPr>
              <w:spacing w:line="338" w:lineRule="exact"/>
              <w:jc w:val="center"/>
              <w:rPr>
                <w:rFonts w:ascii="Tahoma" w:eastAsia="Tahoma" w:hAnsi="Tahoma" w:cs="Tahoma"/>
                <w:b/>
                <w:color w:val="000000"/>
                <w:sz w:val="28"/>
                <w:lang w:val="fr-FR"/>
              </w:rPr>
            </w:pPr>
            <w:r>
              <w:rPr>
                <w:rFonts w:ascii="Tahoma" w:eastAsia="Tahoma" w:hAnsi="Tahoma" w:cs="Tahoma"/>
                <w:b/>
                <w:color w:val="000000"/>
                <w:sz w:val="28"/>
                <w:lang w:val="fr-FR"/>
              </w:rPr>
              <w:t>FOURNITURE DE MACHINES D'IMPRESSION GRAND FORMAT ET SERVICES ASSOCIES - RELANCE</w:t>
            </w:r>
          </w:p>
        </w:tc>
        <w:tc>
          <w:tcPr>
            <w:tcW w:w="1260" w:type="dxa"/>
            <w:tcMar>
              <w:top w:w="0" w:type="dxa"/>
              <w:left w:w="0" w:type="dxa"/>
              <w:bottom w:w="0" w:type="dxa"/>
              <w:right w:w="0" w:type="dxa"/>
            </w:tcMar>
          </w:tcPr>
          <w:p w14:paraId="41811C98" w14:textId="77777777" w:rsidR="003A4209" w:rsidRDefault="003A4209">
            <w:pPr>
              <w:rPr>
                <w:sz w:val="2"/>
              </w:rPr>
            </w:pPr>
          </w:p>
        </w:tc>
      </w:tr>
      <w:tr w:rsidR="003A4209" w14:paraId="6C00C137" w14:textId="77777777">
        <w:trPr>
          <w:trHeight w:val="292"/>
        </w:trPr>
        <w:tc>
          <w:tcPr>
            <w:tcW w:w="9620" w:type="dxa"/>
            <w:gridSpan w:val="3"/>
            <w:vMerge w:val="restart"/>
            <w:tcMar>
              <w:top w:w="0" w:type="dxa"/>
              <w:left w:w="0" w:type="dxa"/>
              <w:bottom w:w="0" w:type="dxa"/>
              <w:right w:w="0" w:type="dxa"/>
            </w:tcMar>
            <w:vAlign w:val="center"/>
          </w:tcPr>
          <w:p w14:paraId="65B50153" w14:textId="77777777" w:rsidR="003A4209" w:rsidRDefault="009B24AF">
            <w:pPr>
              <w:jc w:val="center"/>
              <w:rPr>
                <w:rFonts w:ascii="Tahoma" w:eastAsia="Tahoma" w:hAnsi="Tahoma" w:cs="Tahoma"/>
                <w:color w:val="000000"/>
                <w:lang w:val="fr-FR"/>
              </w:rPr>
            </w:pPr>
            <w:r>
              <w:rPr>
                <w:rFonts w:ascii="Tahoma" w:eastAsia="Tahoma" w:hAnsi="Tahoma" w:cs="Tahoma"/>
                <w:color w:val="000000"/>
                <w:lang w:val="fr-FR"/>
              </w:rPr>
              <w:t>Date et heure limites de réception des offres :</w:t>
            </w:r>
          </w:p>
        </w:tc>
      </w:tr>
      <w:tr w:rsidR="003A4209" w14:paraId="6F67F608" w14:textId="77777777">
        <w:trPr>
          <w:trHeight w:val="276"/>
        </w:trPr>
        <w:tc>
          <w:tcPr>
            <w:tcW w:w="9620" w:type="dxa"/>
            <w:gridSpan w:val="3"/>
            <w:vMerge/>
            <w:tcMar>
              <w:top w:w="0" w:type="dxa"/>
              <w:left w:w="0" w:type="dxa"/>
              <w:bottom w:w="0" w:type="dxa"/>
              <w:right w:w="0" w:type="dxa"/>
            </w:tcMar>
          </w:tcPr>
          <w:p w14:paraId="740142AE" w14:textId="77777777" w:rsidR="003A4209" w:rsidRDefault="003A4209"/>
        </w:tc>
      </w:tr>
    </w:tbl>
    <w:p w14:paraId="0256959C" w14:textId="77777777" w:rsidR="003A4209" w:rsidRDefault="009B24AF">
      <w:pPr>
        <w:spacing w:before="40"/>
        <w:jc w:val="center"/>
        <w:rPr>
          <w:rFonts w:ascii="Tahoma" w:eastAsia="Tahoma" w:hAnsi="Tahoma" w:cs="Tahoma"/>
          <w:color w:val="000000"/>
          <w:lang w:val="fr-FR"/>
        </w:rPr>
      </w:pPr>
      <w:r>
        <w:rPr>
          <w:rFonts w:ascii="Tahoma" w:eastAsia="Tahoma" w:hAnsi="Tahoma" w:cs="Tahoma"/>
          <w:color w:val="000000"/>
          <w:lang w:val="fr-FR"/>
        </w:rPr>
        <w:t xml:space="preserve">mercredi 04 </w:t>
      </w:r>
      <w:r>
        <w:rPr>
          <w:rFonts w:ascii="Tahoma" w:eastAsia="Tahoma" w:hAnsi="Tahoma" w:cs="Tahoma"/>
          <w:color w:val="000000"/>
          <w:lang w:val="fr-FR"/>
        </w:rPr>
        <w:t>novembre 2026 à 12:00</w:t>
      </w:r>
    </w:p>
    <w:p w14:paraId="4EB62929" w14:textId="77777777" w:rsidR="003A4209" w:rsidRDefault="003A4209">
      <w:pPr>
        <w:spacing w:line="240" w:lineRule="exact"/>
      </w:pPr>
    </w:p>
    <w:p w14:paraId="3D55D92C" w14:textId="77777777" w:rsidR="003A4209" w:rsidRDefault="003A4209">
      <w:pPr>
        <w:spacing w:line="240" w:lineRule="exact"/>
      </w:pPr>
    </w:p>
    <w:p w14:paraId="21793E35" w14:textId="77777777" w:rsidR="003A4209" w:rsidRDefault="003A4209">
      <w:pPr>
        <w:spacing w:line="240" w:lineRule="exact"/>
      </w:pPr>
    </w:p>
    <w:p w14:paraId="43544D32" w14:textId="77777777" w:rsidR="003A4209" w:rsidRDefault="003A4209">
      <w:pPr>
        <w:spacing w:line="240" w:lineRule="exact"/>
      </w:pPr>
    </w:p>
    <w:p w14:paraId="14225E1E" w14:textId="77777777" w:rsidR="003A4209" w:rsidRDefault="003A4209">
      <w:pPr>
        <w:spacing w:line="240" w:lineRule="exact"/>
      </w:pPr>
    </w:p>
    <w:p w14:paraId="05816E68" w14:textId="77777777" w:rsidR="003A4209" w:rsidRDefault="003A4209">
      <w:pPr>
        <w:spacing w:line="240" w:lineRule="exact"/>
      </w:pPr>
    </w:p>
    <w:p w14:paraId="51754686" w14:textId="77777777" w:rsidR="003A4209" w:rsidRDefault="003A4209">
      <w:pPr>
        <w:spacing w:line="240" w:lineRule="exact"/>
      </w:pPr>
    </w:p>
    <w:p w14:paraId="1B1F6C1B" w14:textId="77777777" w:rsidR="003A4209" w:rsidRDefault="003A4209">
      <w:pPr>
        <w:spacing w:line="240" w:lineRule="exact"/>
      </w:pPr>
    </w:p>
    <w:p w14:paraId="1F831117" w14:textId="77777777" w:rsidR="003A4209" w:rsidRDefault="009B24AF">
      <w:pPr>
        <w:spacing w:line="290" w:lineRule="exact"/>
        <w:jc w:val="center"/>
        <w:rPr>
          <w:rFonts w:ascii="Tahoma" w:eastAsia="Tahoma" w:hAnsi="Tahoma" w:cs="Tahoma"/>
          <w:color w:val="000000"/>
          <w:lang w:val="fr-FR"/>
        </w:rPr>
      </w:pPr>
      <w:r>
        <w:rPr>
          <w:rFonts w:ascii="Tahoma" w:eastAsia="Tahoma" w:hAnsi="Tahoma" w:cs="Tahoma"/>
          <w:b/>
          <w:color w:val="000000"/>
          <w:lang w:val="fr-FR"/>
        </w:rPr>
        <w:t xml:space="preserve">Ville de La Rochelle </w:t>
      </w:r>
    </w:p>
    <w:p w14:paraId="02336B90" w14:textId="77777777" w:rsidR="003A4209" w:rsidRDefault="009B24AF">
      <w:pPr>
        <w:spacing w:line="290" w:lineRule="exact"/>
        <w:jc w:val="center"/>
        <w:rPr>
          <w:rFonts w:ascii="Tahoma" w:eastAsia="Tahoma" w:hAnsi="Tahoma" w:cs="Tahoma"/>
          <w:color w:val="000000"/>
          <w:lang w:val="fr-FR"/>
        </w:rPr>
      </w:pPr>
      <w:r>
        <w:rPr>
          <w:rFonts w:ascii="Tahoma" w:eastAsia="Tahoma" w:hAnsi="Tahoma" w:cs="Tahoma"/>
          <w:color w:val="000000"/>
          <w:lang w:val="fr-FR"/>
        </w:rPr>
        <w:t>1 RUE DE L'HOTEL DE VILLE</w:t>
      </w:r>
    </w:p>
    <w:p w14:paraId="09B21C60" w14:textId="77777777" w:rsidR="003A4209" w:rsidRDefault="009B24AF">
      <w:pPr>
        <w:spacing w:line="290" w:lineRule="exact"/>
        <w:jc w:val="center"/>
        <w:rPr>
          <w:rFonts w:ascii="Tahoma" w:eastAsia="Tahoma" w:hAnsi="Tahoma" w:cs="Tahoma"/>
          <w:color w:val="000000"/>
          <w:lang w:val="fr-FR"/>
        </w:rPr>
      </w:pPr>
      <w:r>
        <w:rPr>
          <w:rFonts w:ascii="Tahoma" w:eastAsia="Tahoma" w:hAnsi="Tahoma" w:cs="Tahoma"/>
          <w:color w:val="000000"/>
          <w:lang w:val="fr-FR"/>
        </w:rPr>
        <w:t>CS 61541</w:t>
      </w:r>
    </w:p>
    <w:p w14:paraId="10F75709" w14:textId="77777777" w:rsidR="003A4209" w:rsidRDefault="009B24AF">
      <w:pPr>
        <w:spacing w:line="290" w:lineRule="exact"/>
        <w:jc w:val="center"/>
        <w:rPr>
          <w:rFonts w:ascii="Tahoma" w:eastAsia="Tahoma" w:hAnsi="Tahoma" w:cs="Tahoma"/>
          <w:color w:val="000000"/>
          <w:lang w:val="fr-FR"/>
        </w:rPr>
        <w:sectPr w:rsidR="003A4209">
          <w:pgSz w:w="11900" w:h="16840"/>
          <w:pgMar w:top="1400" w:right="1140" w:bottom="1440" w:left="1140" w:header="1400" w:footer="1440" w:gutter="0"/>
          <w:cols w:space="708"/>
        </w:sectPr>
      </w:pPr>
      <w:r>
        <w:rPr>
          <w:rFonts w:ascii="Tahoma" w:eastAsia="Tahoma" w:hAnsi="Tahoma" w:cs="Tahoma"/>
          <w:color w:val="000000"/>
          <w:lang w:val="fr-FR"/>
        </w:rPr>
        <w:t>17086 LA ROCHELLE CEDEX 2</w:t>
      </w:r>
    </w:p>
    <w:p w14:paraId="7BD2BBAA" w14:textId="77777777" w:rsidR="003A4209" w:rsidRDefault="009B24AF">
      <w:pPr>
        <w:spacing w:after="80"/>
        <w:jc w:val="center"/>
        <w:rPr>
          <w:rFonts w:ascii="Tahoma" w:eastAsia="Tahoma" w:hAnsi="Tahoma" w:cs="Tahoma"/>
          <w:b/>
          <w:color w:val="000000"/>
          <w:lang w:val="fr-FR"/>
        </w:rPr>
      </w:pPr>
      <w:r>
        <w:rPr>
          <w:rFonts w:ascii="Tahoma" w:eastAsia="Tahoma" w:hAnsi="Tahoma" w:cs="Tahoma"/>
          <w:b/>
          <w:color w:val="000000"/>
          <w:lang w:val="fr-FR"/>
        </w:rPr>
        <w:lastRenderedPageBreak/>
        <w:t>SOMMAIRE</w:t>
      </w:r>
    </w:p>
    <w:p w14:paraId="5E765DAF" w14:textId="77777777" w:rsidR="003A4209" w:rsidRDefault="003A4209">
      <w:pPr>
        <w:spacing w:after="80" w:line="240" w:lineRule="exact"/>
      </w:pPr>
    </w:p>
    <w:p w14:paraId="7DF4DA9D" w14:textId="77777777" w:rsidR="003A4209" w:rsidRDefault="009B24AF">
      <w:pPr>
        <w:pStyle w:val="TM1"/>
        <w:tabs>
          <w:tab w:val="right" w:leader="dot" w:pos="9610"/>
        </w:tabs>
        <w:rPr>
          <w:rFonts w:ascii="Calibri" w:hAnsi="Calibri"/>
          <w:noProof/>
          <w:sz w:val="22"/>
        </w:rPr>
      </w:pPr>
      <w:r>
        <w:rPr>
          <w:rFonts w:ascii="Tahoma" w:eastAsia="Tahoma" w:hAnsi="Tahoma" w:cs="Tahoma"/>
          <w:color w:val="000000"/>
          <w:sz w:val="22"/>
          <w:lang w:val="fr-FR"/>
        </w:rPr>
        <w:fldChar w:fldCharType="begin"/>
      </w:r>
      <w:r>
        <w:rPr>
          <w:rFonts w:ascii="Tahoma" w:eastAsia="Tahoma" w:hAnsi="Tahoma" w:cs="Tahoma"/>
          <w:color w:val="000000"/>
          <w:sz w:val="22"/>
          <w:lang w:val="fr-FR"/>
        </w:rPr>
        <w:instrText xml:space="preserve"> TOC \h </w:instrText>
      </w:r>
      <w:r>
        <w:rPr>
          <w:rFonts w:ascii="Tahoma" w:eastAsia="Tahoma" w:hAnsi="Tahoma" w:cs="Tahoma"/>
          <w:color w:val="000000"/>
          <w:sz w:val="22"/>
          <w:lang w:val="fr-FR"/>
        </w:rPr>
        <w:fldChar w:fldCharType="separate"/>
      </w:r>
      <w:hyperlink w:anchor="_Toc256000000" w:history="1">
        <w:r>
          <w:rPr>
            <w:rStyle w:val="Lienhypertexte"/>
            <w:rFonts w:ascii="Tahoma" w:eastAsia="Tahoma" w:hAnsi="Tahoma" w:cs="Tahoma"/>
            <w:lang w:val="fr-FR"/>
          </w:rPr>
          <w:t>1 - Objet et étendue de la consultation</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_Toc256000000 \h </w:instrText>
        </w:r>
        <w:r>
          <w:rPr>
            <w:rFonts w:ascii="Tahoma" w:eastAsia="Tahoma" w:hAnsi="Tahoma" w:cs="Tahoma"/>
          </w:rPr>
        </w:r>
        <w:r>
          <w:rPr>
            <w:rFonts w:ascii="Tahoma" w:eastAsia="Tahoma" w:hAnsi="Tahoma" w:cs="Tahoma"/>
          </w:rPr>
          <w:fldChar w:fldCharType="separate"/>
        </w:r>
        <w:r>
          <w:rPr>
            <w:rFonts w:ascii="Tahoma" w:eastAsia="Tahoma" w:hAnsi="Tahoma" w:cs="Tahoma"/>
          </w:rPr>
          <w:t>3</w:t>
        </w:r>
        <w:r>
          <w:rPr>
            <w:rFonts w:ascii="Tahoma" w:eastAsia="Tahoma" w:hAnsi="Tahoma" w:cs="Tahoma"/>
          </w:rPr>
          <w:fldChar w:fldCharType="end"/>
        </w:r>
      </w:hyperlink>
    </w:p>
    <w:p w14:paraId="3573A349" w14:textId="77777777" w:rsidR="003A4209" w:rsidRDefault="009B24AF">
      <w:pPr>
        <w:pStyle w:val="TM2"/>
        <w:tabs>
          <w:tab w:val="right" w:leader="dot" w:pos="9610"/>
        </w:tabs>
        <w:rPr>
          <w:rFonts w:ascii="Calibri" w:hAnsi="Calibri"/>
          <w:noProof/>
          <w:sz w:val="22"/>
        </w:rPr>
      </w:pPr>
      <w:hyperlink w:anchor="_Toc256000001" w:history="1">
        <w:r>
          <w:rPr>
            <w:rStyle w:val="Lienhypertexte"/>
            <w:rFonts w:ascii="Tahoma" w:eastAsia="Tahoma" w:hAnsi="Tahoma" w:cs="Tahoma"/>
            <w:lang w:val="fr-FR"/>
          </w:rPr>
          <w:t>1.1 - Objet</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_Toc256000001 \h </w:instrText>
        </w:r>
        <w:r>
          <w:rPr>
            <w:rFonts w:ascii="Tahoma" w:eastAsia="Tahoma" w:hAnsi="Tahoma" w:cs="Tahoma"/>
          </w:rPr>
        </w:r>
        <w:r>
          <w:rPr>
            <w:rFonts w:ascii="Tahoma" w:eastAsia="Tahoma" w:hAnsi="Tahoma" w:cs="Tahoma"/>
          </w:rPr>
          <w:fldChar w:fldCharType="separate"/>
        </w:r>
        <w:r>
          <w:rPr>
            <w:rFonts w:ascii="Tahoma" w:eastAsia="Tahoma" w:hAnsi="Tahoma" w:cs="Tahoma"/>
          </w:rPr>
          <w:t>3</w:t>
        </w:r>
        <w:r>
          <w:rPr>
            <w:rFonts w:ascii="Tahoma" w:eastAsia="Tahoma" w:hAnsi="Tahoma" w:cs="Tahoma"/>
          </w:rPr>
          <w:fldChar w:fldCharType="end"/>
        </w:r>
      </w:hyperlink>
    </w:p>
    <w:p w14:paraId="304BF0E0" w14:textId="77777777" w:rsidR="003A4209" w:rsidRDefault="009B24AF">
      <w:pPr>
        <w:pStyle w:val="TM2"/>
        <w:tabs>
          <w:tab w:val="right" w:leader="dot" w:pos="9610"/>
        </w:tabs>
        <w:rPr>
          <w:rFonts w:ascii="Calibri" w:hAnsi="Calibri"/>
          <w:noProof/>
          <w:sz w:val="22"/>
        </w:rPr>
      </w:pPr>
      <w:hyperlink w:anchor="_Toc256000002" w:history="1">
        <w:r>
          <w:rPr>
            <w:rStyle w:val="Lienhypertexte"/>
            <w:rFonts w:ascii="Tahoma" w:eastAsia="Tahoma" w:hAnsi="Tahoma" w:cs="Tahoma"/>
            <w:lang w:val="fr-FR"/>
          </w:rPr>
          <w:t>1.2 - Mode de passation</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_Toc256000002 \h </w:instrText>
        </w:r>
        <w:r>
          <w:rPr>
            <w:rFonts w:ascii="Tahoma" w:eastAsia="Tahoma" w:hAnsi="Tahoma" w:cs="Tahoma"/>
          </w:rPr>
        </w:r>
        <w:r>
          <w:rPr>
            <w:rFonts w:ascii="Tahoma" w:eastAsia="Tahoma" w:hAnsi="Tahoma" w:cs="Tahoma"/>
          </w:rPr>
          <w:fldChar w:fldCharType="separate"/>
        </w:r>
        <w:r>
          <w:rPr>
            <w:rFonts w:ascii="Tahoma" w:eastAsia="Tahoma" w:hAnsi="Tahoma" w:cs="Tahoma"/>
          </w:rPr>
          <w:t>3</w:t>
        </w:r>
        <w:r>
          <w:rPr>
            <w:rFonts w:ascii="Tahoma" w:eastAsia="Tahoma" w:hAnsi="Tahoma" w:cs="Tahoma"/>
          </w:rPr>
          <w:fldChar w:fldCharType="end"/>
        </w:r>
      </w:hyperlink>
    </w:p>
    <w:p w14:paraId="6C64948B" w14:textId="77777777" w:rsidR="003A4209" w:rsidRDefault="009B24AF">
      <w:pPr>
        <w:pStyle w:val="TM2"/>
        <w:tabs>
          <w:tab w:val="right" w:leader="dot" w:pos="9610"/>
        </w:tabs>
        <w:rPr>
          <w:rFonts w:ascii="Calibri" w:hAnsi="Calibri"/>
          <w:noProof/>
          <w:sz w:val="22"/>
        </w:rPr>
      </w:pPr>
      <w:hyperlink w:anchor="_Toc256000003" w:history="1">
        <w:r>
          <w:rPr>
            <w:rStyle w:val="Lienhypertexte"/>
            <w:rFonts w:ascii="Tahoma" w:eastAsia="Tahoma" w:hAnsi="Tahoma" w:cs="Tahoma"/>
            <w:lang w:val="fr-FR"/>
          </w:rPr>
          <w:t>1.3 - Type et forme de contrat</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_Toc256000003 \h </w:instrText>
        </w:r>
        <w:r>
          <w:rPr>
            <w:rFonts w:ascii="Tahoma" w:eastAsia="Tahoma" w:hAnsi="Tahoma" w:cs="Tahoma"/>
          </w:rPr>
        </w:r>
        <w:r>
          <w:rPr>
            <w:rFonts w:ascii="Tahoma" w:eastAsia="Tahoma" w:hAnsi="Tahoma" w:cs="Tahoma"/>
          </w:rPr>
          <w:fldChar w:fldCharType="separate"/>
        </w:r>
        <w:r>
          <w:rPr>
            <w:rFonts w:ascii="Tahoma" w:eastAsia="Tahoma" w:hAnsi="Tahoma" w:cs="Tahoma"/>
          </w:rPr>
          <w:t>3</w:t>
        </w:r>
        <w:r>
          <w:rPr>
            <w:rFonts w:ascii="Tahoma" w:eastAsia="Tahoma" w:hAnsi="Tahoma" w:cs="Tahoma"/>
          </w:rPr>
          <w:fldChar w:fldCharType="end"/>
        </w:r>
      </w:hyperlink>
    </w:p>
    <w:p w14:paraId="69A38A29" w14:textId="77777777" w:rsidR="003A4209" w:rsidRDefault="009B24AF">
      <w:pPr>
        <w:pStyle w:val="TM2"/>
        <w:tabs>
          <w:tab w:val="right" w:leader="dot" w:pos="9610"/>
        </w:tabs>
        <w:rPr>
          <w:rFonts w:ascii="Calibri" w:hAnsi="Calibri"/>
          <w:noProof/>
          <w:sz w:val="22"/>
        </w:rPr>
      </w:pPr>
      <w:hyperlink w:anchor="_Toc256000004" w:history="1">
        <w:r>
          <w:rPr>
            <w:rStyle w:val="Lienhypertexte"/>
            <w:rFonts w:ascii="Tahoma" w:eastAsia="Tahoma" w:hAnsi="Tahoma" w:cs="Tahoma"/>
            <w:lang w:val="fr-FR"/>
          </w:rPr>
          <w:t>1.4 - Décomposition de la consultation</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_Toc256000004 \h </w:instrText>
        </w:r>
        <w:r>
          <w:rPr>
            <w:rFonts w:ascii="Tahoma" w:eastAsia="Tahoma" w:hAnsi="Tahoma" w:cs="Tahoma"/>
          </w:rPr>
        </w:r>
        <w:r>
          <w:rPr>
            <w:rFonts w:ascii="Tahoma" w:eastAsia="Tahoma" w:hAnsi="Tahoma" w:cs="Tahoma"/>
          </w:rPr>
          <w:fldChar w:fldCharType="separate"/>
        </w:r>
        <w:r>
          <w:rPr>
            <w:rFonts w:ascii="Tahoma" w:eastAsia="Tahoma" w:hAnsi="Tahoma" w:cs="Tahoma"/>
          </w:rPr>
          <w:t>3</w:t>
        </w:r>
        <w:r>
          <w:rPr>
            <w:rFonts w:ascii="Tahoma" w:eastAsia="Tahoma" w:hAnsi="Tahoma" w:cs="Tahoma"/>
          </w:rPr>
          <w:fldChar w:fldCharType="end"/>
        </w:r>
      </w:hyperlink>
    </w:p>
    <w:p w14:paraId="41F835DD" w14:textId="77777777" w:rsidR="003A4209" w:rsidRDefault="009B24AF">
      <w:pPr>
        <w:pStyle w:val="TM2"/>
        <w:tabs>
          <w:tab w:val="right" w:leader="dot" w:pos="9610"/>
        </w:tabs>
        <w:rPr>
          <w:rFonts w:ascii="Calibri" w:hAnsi="Calibri"/>
          <w:noProof/>
          <w:sz w:val="22"/>
        </w:rPr>
      </w:pPr>
      <w:hyperlink w:anchor="_Toc256000005" w:history="1">
        <w:r>
          <w:rPr>
            <w:rStyle w:val="Lienhypertexte"/>
            <w:rFonts w:ascii="Tahoma" w:eastAsia="Tahoma" w:hAnsi="Tahoma" w:cs="Tahoma"/>
            <w:lang w:val="fr-FR"/>
          </w:rPr>
          <w:t>1.5 - Nomenclature</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_Toc256000005 \h </w:instrText>
        </w:r>
        <w:r>
          <w:rPr>
            <w:rFonts w:ascii="Tahoma" w:eastAsia="Tahoma" w:hAnsi="Tahoma" w:cs="Tahoma"/>
          </w:rPr>
        </w:r>
        <w:r>
          <w:rPr>
            <w:rFonts w:ascii="Tahoma" w:eastAsia="Tahoma" w:hAnsi="Tahoma" w:cs="Tahoma"/>
          </w:rPr>
          <w:fldChar w:fldCharType="separate"/>
        </w:r>
        <w:r>
          <w:rPr>
            <w:rFonts w:ascii="Tahoma" w:eastAsia="Tahoma" w:hAnsi="Tahoma" w:cs="Tahoma"/>
          </w:rPr>
          <w:t>3</w:t>
        </w:r>
        <w:r>
          <w:rPr>
            <w:rFonts w:ascii="Tahoma" w:eastAsia="Tahoma" w:hAnsi="Tahoma" w:cs="Tahoma"/>
          </w:rPr>
          <w:fldChar w:fldCharType="end"/>
        </w:r>
      </w:hyperlink>
    </w:p>
    <w:p w14:paraId="6A37397F" w14:textId="77777777" w:rsidR="003A4209" w:rsidRDefault="009B24AF">
      <w:pPr>
        <w:pStyle w:val="TM1"/>
        <w:tabs>
          <w:tab w:val="right" w:leader="dot" w:pos="9610"/>
        </w:tabs>
        <w:rPr>
          <w:rFonts w:ascii="Calibri" w:hAnsi="Calibri"/>
          <w:noProof/>
          <w:sz w:val="22"/>
        </w:rPr>
      </w:pPr>
      <w:hyperlink w:anchor="_Toc256000006" w:history="1">
        <w:r>
          <w:rPr>
            <w:rStyle w:val="Lienhypertexte"/>
            <w:rFonts w:ascii="Tahoma" w:eastAsia="Tahoma" w:hAnsi="Tahoma" w:cs="Tahoma"/>
            <w:lang w:val="fr-FR"/>
          </w:rPr>
          <w:t>2 - Conditions de la consultation</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_Toc256000006 \h </w:instrText>
        </w:r>
        <w:r>
          <w:rPr>
            <w:rFonts w:ascii="Tahoma" w:eastAsia="Tahoma" w:hAnsi="Tahoma" w:cs="Tahoma"/>
          </w:rPr>
        </w:r>
        <w:r>
          <w:rPr>
            <w:rFonts w:ascii="Tahoma" w:eastAsia="Tahoma" w:hAnsi="Tahoma" w:cs="Tahoma"/>
          </w:rPr>
          <w:fldChar w:fldCharType="separate"/>
        </w:r>
        <w:r>
          <w:rPr>
            <w:rFonts w:ascii="Tahoma" w:eastAsia="Tahoma" w:hAnsi="Tahoma" w:cs="Tahoma"/>
          </w:rPr>
          <w:t>3</w:t>
        </w:r>
        <w:r>
          <w:rPr>
            <w:rFonts w:ascii="Tahoma" w:eastAsia="Tahoma" w:hAnsi="Tahoma" w:cs="Tahoma"/>
          </w:rPr>
          <w:fldChar w:fldCharType="end"/>
        </w:r>
      </w:hyperlink>
    </w:p>
    <w:p w14:paraId="63A5B1A6" w14:textId="77777777" w:rsidR="003A4209" w:rsidRDefault="009B24AF">
      <w:pPr>
        <w:pStyle w:val="TM2"/>
        <w:tabs>
          <w:tab w:val="right" w:leader="dot" w:pos="9610"/>
        </w:tabs>
        <w:rPr>
          <w:rFonts w:ascii="Calibri" w:hAnsi="Calibri"/>
          <w:noProof/>
          <w:sz w:val="22"/>
        </w:rPr>
      </w:pPr>
      <w:hyperlink w:anchor="_Toc256000007" w:history="1">
        <w:r>
          <w:rPr>
            <w:rStyle w:val="Lienhypertexte"/>
            <w:rFonts w:ascii="Tahoma" w:eastAsia="Tahoma" w:hAnsi="Tahoma" w:cs="Tahoma"/>
            <w:lang w:val="fr-FR"/>
          </w:rPr>
          <w:t>2.1 - Délai de validité des offres</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_Toc256000007 \h </w:instrText>
        </w:r>
        <w:r>
          <w:rPr>
            <w:rFonts w:ascii="Tahoma" w:eastAsia="Tahoma" w:hAnsi="Tahoma" w:cs="Tahoma"/>
          </w:rPr>
        </w:r>
        <w:r>
          <w:rPr>
            <w:rFonts w:ascii="Tahoma" w:eastAsia="Tahoma" w:hAnsi="Tahoma" w:cs="Tahoma"/>
          </w:rPr>
          <w:fldChar w:fldCharType="separate"/>
        </w:r>
        <w:r>
          <w:rPr>
            <w:rFonts w:ascii="Tahoma" w:eastAsia="Tahoma" w:hAnsi="Tahoma" w:cs="Tahoma"/>
          </w:rPr>
          <w:t>3</w:t>
        </w:r>
        <w:r>
          <w:rPr>
            <w:rFonts w:ascii="Tahoma" w:eastAsia="Tahoma" w:hAnsi="Tahoma" w:cs="Tahoma"/>
          </w:rPr>
          <w:fldChar w:fldCharType="end"/>
        </w:r>
      </w:hyperlink>
    </w:p>
    <w:p w14:paraId="669D1873" w14:textId="77777777" w:rsidR="003A4209" w:rsidRDefault="009B24AF">
      <w:pPr>
        <w:pStyle w:val="TM2"/>
        <w:tabs>
          <w:tab w:val="right" w:leader="dot" w:pos="9610"/>
        </w:tabs>
        <w:rPr>
          <w:rFonts w:ascii="Calibri" w:hAnsi="Calibri"/>
          <w:noProof/>
          <w:sz w:val="22"/>
        </w:rPr>
      </w:pPr>
      <w:hyperlink w:anchor="_Toc256000008" w:history="1">
        <w:r>
          <w:rPr>
            <w:rStyle w:val="Lienhypertexte"/>
            <w:rFonts w:ascii="Tahoma" w:eastAsia="Tahoma" w:hAnsi="Tahoma" w:cs="Tahoma"/>
            <w:lang w:val="fr-FR"/>
          </w:rPr>
          <w:t>2.2 - Forme juridique du groupement</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_Toc256000008 \h </w:instrText>
        </w:r>
        <w:r>
          <w:rPr>
            <w:rFonts w:ascii="Tahoma" w:eastAsia="Tahoma" w:hAnsi="Tahoma" w:cs="Tahoma"/>
          </w:rPr>
        </w:r>
        <w:r>
          <w:rPr>
            <w:rFonts w:ascii="Tahoma" w:eastAsia="Tahoma" w:hAnsi="Tahoma" w:cs="Tahoma"/>
          </w:rPr>
          <w:fldChar w:fldCharType="separate"/>
        </w:r>
        <w:r>
          <w:rPr>
            <w:rFonts w:ascii="Tahoma" w:eastAsia="Tahoma" w:hAnsi="Tahoma" w:cs="Tahoma"/>
          </w:rPr>
          <w:t>3</w:t>
        </w:r>
        <w:r>
          <w:rPr>
            <w:rFonts w:ascii="Tahoma" w:eastAsia="Tahoma" w:hAnsi="Tahoma" w:cs="Tahoma"/>
          </w:rPr>
          <w:fldChar w:fldCharType="end"/>
        </w:r>
      </w:hyperlink>
    </w:p>
    <w:p w14:paraId="33BFEA3D" w14:textId="77777777" w:rsidR="003A4209" w:rsidRDefault="009B24AF">
      <w:pPr>
        <w:pStyle w:val="TM2"/>
        <w:tabs>
          <w:tab w:val="right" w:leader="dot" w:pos="9610"/>
        </w:tabs>
        <w:rPr>
          <w:rFonts w:ascii="Calibri" w:hAnsi="Calibri"/>
          <w:noProof/>
          <w:sz w:val="22"/>
        </w:rPr>
      </w:pPr>
      <w:hyperlink w:anchor="_Toc256000009" w:history="1">
        <w:r>
          <w:rPr>
            <w:rStyle w:val="Lienhypertexte"/>
            <w:rFonts w:ascii="Tahoma" w:eastAsia="Tahoma" w:hAnsi="Tahoma" w:cs="Tahoma"/>
            <w:lang w:val="fr-FR"/>
          </w:rPr>
          <w:t>2.3 - Variantes</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_Toc256000009 \h </w:instrText>
        </w:r>
        <w:r>
          <w:rPr>
            <w:rFonts w:ascii="Tahoma" w:eastAsia="Tahoma" w:hAnsi="Tahoma" w:cs="Tahoma"/>
          </w:rPr>
        </w:r>
        <w:r>
          <w:rPr>
            <w:rFonts w:ascii="Tahoma" w:eastAsia="Tahoma" w:hAnsi="Tahoma" w:cs="Tahoma"/>
          </w:rPr>
          <w:fldChar w:fldCharType="separate"/>
        </w:r>
        <w:r>
          <w:rPr>
            <w:rFonts w:ascii="Tahoma" w:eastAsia="Tahoma" w:hAnsi="Tahoma" w:cs="Tahoma"/>
          </w:rPr>
          <w:t>3</w:t>
        </w:r>
        <w:r>
          <w:rPr>
            <w:rFonts w:ascii="Tahoma" w:eastAsia="Tahoma" w:hAnsi="Tahoma" w:cs="Tahoma"/>
          </w:rPr>
          <w:fldChar w:fldCharType="end"/>
        </w:r>
      </w:hyperlink>
    </w:p>
    <w:p w14:paraId="648A06AA" w14:textId="77777777" w:rsidR="003A4209" w:rsidRDefault="009B24AF">
      <w:pPr>
        <w:pStyle w:val="TM2"/>
        <w:tabs>
          <w:tab w:val="right" w:leader="dot" w:pos="9610"/>
        </w:tabs>
        <w:rPr>
          <w:rFonts w:ascii="Calibri" w:hAnsi="Calibri"/>
          <w:noProof/>
          <w:sz w:val="22"/>
        </w:rPr>
      </w:pPr>
      <w:hyperlink w:anchor="_Toc256000010" w:history="1">
        <w:r>
          <w:rPr>
            <w:rStyle w:val="Lienhypertexte"/>
            <w:rFonts w:ascii="Tahoma" w:eastAsia="Tahoma" w:hAnsi="Tahoma" w:cs="Tahoma"/>
            <w:lang w:val="fr-FR"/>
          </w:rPr>
          <w:t>2.4 - Développement durable</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_Toc256000010 \h </w:instrText>
        </w:r>
        <w:r>
          <w:rPr>
            <w:rFonts w:ascii="Tahoma" w:eastAsia="Tahoma" w:hAnsi="Tahoma" w:cs="Tahoma"/>
          </w:rPr>
        </w:r>
        <w:r>
          <w:rPr>
            <w:rFonts w:ascii="Tahoma" w:eastAsia="Tahoma" w:hAnsi="Tahoma" w:cs="Tahoma"/>
          </w:rPr>
          <w:fldChar w:fldCharType="separate"/>
        </w:r>
        <w:r>
          <w:rPr>
            <w:rFonts w:ascii="Tahoma" w:eastAsia="Tahoma" w:hAnsi="Tahoma" w:cs="Tahoma"/>
          </w:rPr>
          <w:t>4</w:t>
        </w:r>
        <w:r>
          <w:rPr>
            <w:rFonts w:ascii="Tahoma" w:eastAsia="Tahoma" w:hAnsi="Tahoma" w:cs="Tahoma"/>
          </w:rPr>
          <w:fldChar w:fldCharType="end"/>
        </w:r>
      </w:hyperlink>
    </w:p>
    <w:p w14:paraId="1E2EA62A" w14:textId="77777777" w:rsidR="003A4209" w:rsidRDefault="009B24AF">
      <w:pPr>
        <w:pStyle w:val="TM1"/>
        <w:tabs>
          <w:tab w:val="right" w:leader="dot" w:pos="9610"/>
        </w:tabs>
        <w:rPr>
          <w:rFonts w:ascii="Calibri" w:hAnsi="Calibri"/>
          <w:noProof/>
          <w:sz w:val="22"/>
        </w:rPr>
      </w:pPr>
      <w:hyperlink w:anchor="_Toc256000011" w:history="1">
        <w:r>
          <w:rPr>
            <w:rStyle w:val="Lienhypertexte"/>
            <w:rFonts w:ascii="Tahoma" w:eastAsia="Tahoma" w:hAnsi="Tahoma" w:cs="Tahoma"/>
            <w:lang w:val="fr-FR"/>
          </w:rPr>
          <w:t>3 - Conditions relatives au contrat</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_Toc256000011 \h </w:instrText>
        </w:r>
        <w:r>
          <w:rPr>
            <w:rFonts w:ascii="Tahoma" w:eastAsia="Tahoma" w:hAnsi="Tahoma" w:cs="Tahoma"/>
          </w:rPr>
        </w:r>
        <w:r>
          <w:rPr>
            <w:rFonts w:ascii="Tahoma" w:eastAsia="Tahoma" w:hAnsi="Tahoma" w:cs="Tahoma"/>
          </w:rPr>
          <w:fldChar w:fldCharType="separate"/>
        </w:r>
        <w:r>
          <w:rPr>
            <w:rFonts w:ascii="Tahoma" w:eastAsia="Tahoma" w:hAnsi="Tahoma" w:cs="Tahoma"/>
          </w:rPr>
          <w:t>4</w:t>
        </w:r>
        <w:r>
          <w:rPr>
            <w:rFonts w:ascii="Tahoma" w:eastAsia="Tahoma" w:hAnsi="Tahoma" w:cs="Tahoma"/>
          </w:rPr>
          <w:fldChar w:fldCharType="end"/>
        </w:r>
      </w:hyperlink>
    </w:p>
    <w:p w14:paraId="7EA95D24" w14:textId="77777777" w:rsidR="003A4209" w:rsidRDefault="009B24AF">
      <w:pPr>
        <w:pStyle w:val="TM2"/>
        <w:tabs>
          <w:tab w:val="right" w:leader="dot" w:pos="9610"/>
        </w:tabs>
        <w:rPr>
          <w:rFonts w:ascii="Calibri" w:hAnsi="Calibri"/>
          <w:noProof/>
          <w:sz w:val="22"/>
        </w:rPr>
      </w:pPr>
      <w:hyperlink w:anchor="_Toc256000012" w:history="1">
        <w:r>
          <w:rPr>
            <w:rStyle w:val="Lienhypertexte"/>
            <w:rFonts w:ascii="Tahoma" w:eastAsia="Tahoma" w:hAnsi="Tahoma" w:cs="Tahoma"/>
            <w:lang w:val="fr-FR"/>
          </w:rPr>
          <w:t xml:space="preserve">3.1 - Durée du contrat ou délai </w:t>
        </w:r>
        <w:r>
          <w:rPr>
            <w:rStyle w:val="Lienhypertexte"/>
            <w:rFonts w:ascii="Tahoma" w:eastAsia="Tahoma" w:hAnsi="Tahoma" w:cs="Tahoma"/>
            <w:lang w:val="fr-FR"/>
          </w:rPr>
          <w:t>d'exécution</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_Toc256000012 \h </w:instrText>
        </w:r>
        <w:r>
          <w:rPr>
            <w:rFonts w:ascii="Tahoma" w:eastAsia="Tahoma" w:hAnsi="Tahoma" w:cs="Tahoma"/>
          </w:rPr>
        </w:r>
        <w:r>
          <w:rPr>
            <w:rFonts w:ascii="Tahoma" w:eastAsia="Tahoma" w:hAnsi="Tahoma" w:cs="Tahoma"/>
          </w:rPr>
          <w:fldChar w:fldCharType="separate"/>
        </w:r>
        <w:r>
          <w:rPr>
            <w:rFonts w:ascii="Tahoma" w:eastAsia="Tahoma" w:hAnsi="Tahoma" w:cs="Tahoma"/>
          </w:rPr>
          <w:t>4</w:t>
        </w:r>
        <w:r>
          <w:rPr>
            <w:rFonts w:ascii="Tahoma" w:eastAsia="Tahoma" w:hAnsi="Tahoma" w:cs="Tahoma"/>
          </w:rPr>
          <w:fldChar w:fldCharType="end"/>
        </w:r>
      </w:hyperlink>
    </w:p>
    <w:p w14:paraId="42671DA6" w14:textId="77777777" w:rsidR="003A4209" w:rsidRDefault="009B24AF">
      <w:pPr>
        <w:pStyle w:val="TM2"/>
        <w:tabs>
          <w:tab w:val="right" w:leader="dot" w:pos="9610"/>
        </w:tabs>
        <w:rPr>
          <w:rFonts w:ascii="Calibri" w:hAnsi="Calibri"/>
          <w:noProof/>
          <w:sz w:val="22"/>
        </w:rPr>
      </w:pPr>
      <w:hyperlink w:anchor="_Toc256000013" w:history="1">
        <w:r>
          <w:rPr>
            <w:rStyle w:val="Lienhypertexte"/>
            <w:rFonts w:ascii="Tahoma" w:eastAsia="Tahoma" w:hAnsi="Tahoma" w:cs="Tahoma"/>
            <w:lang w:val="fr-FR"/>
          </w:rPr>
          <w:t>3.2 - Modalités essentielles de financement et de paiement</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_Toc256000013 \h </w:instrText>
        </w:r>
        <w:r>
          <w:rPr>
            <w:rFonts w:ascii="Tahoma" w:eastAsia="Tahoma" w:hAnsi="Tahoma" w:cs="Tahoma"/>
          </w:rPr>
        </w:r>
        <w:r>
          <w:rPr>
            <w:rFonts w:ascii="Tahoma" w:eastAsia="Tahoma" w:hAnsi="Tahoma" w:cs="Tahoma"/>
          </w:rPr>
          <w:fldChar w:fldCharType="separate"/>
        </w:r>
        <w:r>
          <w:rPr>
            <w:rFonts w:ascii="Tahoma" w:eastAsia="Tahoma" w:hAnsi="Tahoma" w:cs="Tahoma"/>
          </w:rPr>
          <w:t>4</w:t>
        </w:r>
        <w:r>
          <w:rPr>
            <w:rFonts w:ascii="Tahoma" w:eastAsia="Tahoma" w:hAnsi="Tahoma" w:cs="Tahoma"/>
          </w:rPr>
          <w:fldChar w:fldCharType="end"/>
        </w:r>
      </w:hyperlink>
    </w:p>
    <w:p w14:paraId="08E92E9E" w14:textId="77777777" w:rsidR="003A4209" w:rsidRDefault="009B24AF">
      <w:pPr>
        <w:pStyle w:val="TM2"/>
        <w:tabs>
          <w:tab w:val="right" w:leader="dot" w:pos="9610"/>
        </w:tabs>
        <w:rPr>
          <w:rFonts w:ascii="Calibri" w:hAnsi="Calibri"/>
          <w:noProof/>
          <w:sz w:val="22"/>
        </w:rPr>
      </w:pPr>
      <w:hyperlink w:anchor="_Toc256000014" w:history="1">
        <w:r>
          <w:rPr>
            <w:rStyle w:val="Lienhypertexte"/>
            <w:rFonts w:ascii="Tahoma" w:eastAsia="Tahoma" w:hAnsi="Tahoma" w:cs="Tahoma"/>
            <w:lang w:val="fr-FR"/>
          </w:rPr>
          <w:t>3.3 - Confidentialité et mesures de sécurité</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_Toc256000014 \h </w:instrText>
        </w:r>
        <w:r>
          <w:rPr>
            <w:rFonts w:ascii="Tahoma" w:eastAsia="Tahoma" w:hAnsi="Tahoma" w:cs="Tahoma"/>
          </w:rPr>
        </w:r>
        <w:r>
          <w:rPr>
            <w:rFonts w:ascii="Tahoma" w:eastAsia="Tahoma" w:hAnsi="Tahoma" w:cs="Tahoma"/>
          </w:rPr>
          <w:fldChar w:fldCharType="separate"/>
        </w:r>
        <w:r>
          <w:rPr>
            <w:rFonts w:ascii="Tahoma" w:eastAsia="Tahoma" w:hAnsi="Tahoma" w:cs="Tahoma"/>
          </w:rPr>
          <w:t>4</w:t>
        </w:r>
        <w:r>
          <w:rPr>
            <w:rFonts w:ascii="Tahoma" w:eastAsia="Tahoma" w:hAnsi="Tahoma" w:cs="Tahoma"/>
          </w:rPr>
          <w:fldChar w:fldCharType="end"/>
        </w:r>
      </w:hyperlink>
    </w:p>
    <w:p w14:paraId="74AE178C" w14:textId="77777777" w:rsidR="003A4209" w:rsidRDefault="009B24AF">
      <w:pPr>
        <w:pStyle w:val="TM1"/>
        <w:tabs>
          <w:tab w:val="right" w:leader="dot" w:pos="9610"/>
        </w:tabs>
        <w:rPr>
          <w:rFonts w:ascii="Calibri" w:hAnsi="Calibri"/>
          <w:noProof/>
          <w:sz w:val="22"/>
        </w:rPr>
      </w:pPr>
      <w:hyperlink w:anchor="_Toc256000015" w:history="1">
        <w:r>
          <w:rPr>
            <w:rStyle w:val="Lienhypertexte"/>
            <w:rFonts w:ascii="Tahoma" w:eastAsia="Tahoma" w:hAnsi="Tahoma" w:cs="Tahoma"/>
            <w:lang w:val="fr-FR"/>
          </w:rPr>
          <w:t>4 - Conten</w:t>
        </w:r>
        <w:r>
          <w:rPr>
            <w:rStyle w:val="Lienhypertexte"/>
            <w:rFonts w:ascii="Tahoma" w:eastAsia="Tahoma" w:hAnsi="Tahoma" w:cs="Tahoma"/>
            <w:lang w:val="fr-FR"/>
          </w:rPr>
          <w:t>u du dossier de consultation</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_Toc256000015 \h </w:instrText>
        </w:r>
        <w:r>
          <w:rPr>
            <w:rFonts w:ascii="Tahoma" w:eastAsia="Tahoma" w:hAnsi="Tahoma" w:cs="Tahoma"/>
          </w:rPr>
        </w:r>
        <w:r>
          <w:rPr>
            <w:rFonts w:ascii="Tahoma" w:eastAsia="Tahoma" w:hAnsi="Tahoma" w:cs="Tahoma"/>
          </w:rPr>
          <w:fldChar w:fldCharType="separate"/>
        </w:r>
        <w:r>
          <w:rPr>
            <w:rFonts w:ascii="Tahoma" w:eastAsia="Tahoma" w:hAnsi="Tahoma" w:cs="Tahoma"/>
          </w:rPr>
          <w:t>4</w:t>
        </w:r>
        <w:r>
          <w:rPr>
            <w:rFonts w:ascii="Tahoma" w:eastAsia="Tahoma" w:hAnsi="Tahoma" w:cs="Tahoma"/>
          </w:rPr>
          <w:fldChar w:fldCharType="end"/>
        </w:r>
      </w:hyperlink>
    </w:p>
    <w:p w14:paraId="55CA3FE2" w14:textId="77777777" w:rsidR="003A4209" w:rsidRDefault="009B24AF">
      <w:pPr>
        <w:pStyle w:val="TM1"/>
        <w:tabs>
          <w:tab w:val="right" w:leader="dot" w:pos="9610"/>
        </w:tabs>
        <w:rPr>
          <w:rFonts w:ascii="Calibri" w:hAnsi="Calibri"/>
          <w:noProof/>
          <w:sz w:val="22"/>
        </w:rPr>
      </w:pPr>
      <w:hyperlink w:anchor="_Toc256000016" w:history="1">
        <w:r>
          <w:rPr>
            <w:rStyle w:val="Lienhypertexte"/>
            <w:rFonts w:ascii="Tahoma" w:eastAsia="Tahoma" w:hAnsi="Tahoma" w:cs="Tahoma"/>
            <w:lang w:val="fr-FR"/>
          </w:rPr>
          <w:t>5 - Présentation des candidatures et des offres</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_Toc256000016 \h </w:instrText>
        </w:r>
        <w:r>
          <w:rPr>
            <w:rFonts w:ascii="Tahoma" w:eastAsia="Tahoma" w:hAnsi="Tahoma" w:cs="Tahoma"/>
          </w:rPr>
        </w:r>
        <w:r>
          <w:rPr>
            <w:rFonts w:ascii="Tahoma" w:eastAsia="Tahoma" w:hAnsi="Tahoma" w:cs="Tahoma"/>
          </w:rPr>
          <w:fldChar w:fldCharType="separate"/>
        </w:r>
        <w:r>
          <w:rPr>
            <w:rFonts w:ascii="Tahoma" w:eastAsia="Tahoma" w:hAnsi="Tahoma" w:cs="Tahoma"/>
          </w:rPr>
          <w:t>5</w:t>
        </w:r>
        <w:r>
          <w:rPr>
            <w:rFonts w:ascii="Tahoma" w:eastAsia="Tahoma" w:hAnsi="Tahoma" w:cs="Tahoma"/>
          </w:rPr>
          <w:fldChar w:fldCharType="end"/>
        </w:r>
      </w:hyperlink>
    </w:p>
    <w:p w14:paraId="4B019BD7" w14:textId="77777777" w:rsidR="003A4209" w:rsidRDefault="009B24AF">
      <w:pPr>
        <w:pStyle w:val="TM2"/>
        <w:tabs>
          <w:tab w:val="right" w:leader="dot" w:pos="9610"/>
        </w:tabs>
        <w:rPr>
          <w:rFonts w:ascii="Calibri" w:hAnsi="Calibri"/>
          <w:noProof/>
          <w:sz w:val="22"/>
        </w:rPr>
      </w:pPr>
      <w:hyperlink w:anchor="_Toc256000017" w:history="1">
        <w:r>
          <w:rPr>
            <w:rStyle w:val="Lienhypertexte"/>
            <w:rFonts w:ascii="Tahoma" w:eastAsia="Tahoma" w:hAnsi="Tahoma" w:cs="Tahoma"/>
            <w:lang w:val="fr-FR"/>
          </w:rPr>
          <w:t>5.1 - Documents à produire</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_Toc256000017 \h </w:instrText>
        </w:r>
        <w:r>
          <w:rPr>
            <w:rFonts w:ascii="Tahoma" w:eastAsia="Tahoma" w:hAnsi="Tahoma" w:cs="Tahoma"/>
          </w:rPr>
        </w:r>
        <w:r>
          <w:rPr>
            <w:rFonts w:ascii="Tahoma" w:eastAsia="Tahoma" w:hAnsi="Tahoma" w:cs="Tahoma"/>
          </w:rPr>
          <w:fldChar w:fldCharType="separate"/>
        </w:r>
        <w:r>
          <w:rPr>
            <w:rFonts w:ascii="Tahoma" w:eastAsia="Tahoma" w:hAnsi="Tahoma" w:cs="Tahoma"/>
          </w:rPr>
          <w:t>5</w:t>
        </w:r>
        <w:r>
          <w:rPr>
            <w:rFonts w:ascii="Tahoma" w:eastAsia="Tahoma" w:hAnsi="Tahoma" w:cs="Tahoma"/>
          </w:rPr>
          <w:fldChar w:fldCharType="end"/>
        </w:r>
      </w:hyperlink>
    </w:p>
    <w:p w14:paraId="17C45FAC" w14:textId="77777777" w:rsidR="003A4209" w:rsidRDefault="009B24AF">
      <w:pPr>
        <w:pStyle w:val="TM2"/>
        <w:tabs>
          <w:tab w:val="right" w:leader="dot" w:pos="9610"/>
        </w:tabs>
        <w:rPr>
          <w:rFonts w:ascii="Calibri" w:hAnsi="Calibri"/>
          <w:noProof/>
          <w:sz w:val="22"/>
        </w:rPr>
      </w:pPr>
      <w:hyperlink w:anchor="_Toc256000018" w:history="1">
        <w:r>
          <w:rPr>
            <w:rStyle w:val="Lienhypertexte"/>
            <w:rFonts w:ascii="Tahoma" w:eastAsia="Tahoma" w:hAnsi="Tahoma" w:cs="Tahoma"/>
            <w:lang w:val="fr-FR"/>
          </w:rPr>
          <w:t>5.2 - Présentation des variantes</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_Toc256000018 \h </w:instrText>
        </w:r>
        <w:r>
          <w:rPr>
            <w:rFonts w:ascii="Tahoma" w:eastAsia="Tahoma" w:hAnsi="Tahoma" w:cs="Tahoma"/>
          </w:rPr>
        </w:r>
        <w:r>
          <w:rPr>
            <w:rFonts w:ascii="Tahoma" w:eastAsia="Tahoma" w:hAnsi="Tahoma" w:cs="Tahoma"/>
          </w:rPr>
          <w:fldChar w:fldCharType="separate"/>
        </w:r>
        <w:r>
          <w:rPr>
            <w:rFonts w:ascii="Tahoma" w:eastAsia="Tahoma" w:hAnsi="Tahoma" w:cs="Tahoma"/>
          </w:rPr>
          <w:t>6</w:t>
        </w:r>
        <w:r>
          <w:rPr>
            <w:rFonts w:ascii="Tahoma" w:eastAsia="Tahoma" w:hAnsi="Tahoma" w:cs="Tahoma"/>
          </w:rPr>
          <w:fldChar w:fldCharType="end"/>
        </w:r>
      </w:hyperlink>
    </w:p>
    <w:p w14:paraId="639717C8" w14:textId="77777777" w:rsidR="003A4209" w:rsidRDefault="009B24AF">
      <w:pPr>
        <w:pStyle w:val="TM1"/>
        <w:tabs>
          <w:tab w:val="right" w:leader="dot" w:pos="9610"/>
        </w:tabs>
        <w:rPr>
          <w:rFonts w:ascii="Calibri" w:hAnsi="Calibri"/>
          <w:noProof/>
          <w:sz w:val="22"/>
        </w:rPr>
      </w:pPr>
      <w:hyperlink w:anchor="_Toc256000019" w:history="1">
        <w:r>
          <w:rPr>
            <w:rStyle w:val="Lienhypertexte"/>
            <w:rFonts w:ascii="Tahoma" w:eastAsia="Tahoma" w:hAnsi="Tahoma" w:cs="Tahoma"/>
            <w:lang w:val="fr-FR"/>
          </w:rPr>
          <w:t>6 - Conditions d'envoi ou de remise des plis</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_Toc256000019 \h </w:instrText>
        </w:r>
        <w:r>
          <w:rPr>
            <w:rFonts w:ascii="Tahoma" w:eastAsia="Tahoma" w:hAnsi="Tahoma" w:cs="Tahoma"/>
          </w:rPr>
        </w:r>
        <w:r>
          <w:rPr>
            <w:rFonts w:ascii="Tahoma" w:eastAsia="Tahoma" w:hAnsi="Tahoma" w:cs="Tahoma"/>
          </w:rPr>
          <w:fldChar w:fldCharType="separate"/>
        </w:r>
        <w:r>
          <w:rPr>
            <w:rFonts w:ascii="Tahoma" w:eastAsia="Tahoma" w:hAnsi="Tahoma" w:cs="Tahoma"/>
          </w:rPr>
          <w:t>6</w:t>
        </w:r>
        <w:r>
          <w:rPr>
            <w:rFonts w:ascii="Tahoma" w:eastAsia="Tahoma" w:hAnsi="Tahoma" w:cs="Tahoma"/>
          </w:rPr>
          <w:fldChar w:fldCharType="end"/>
        </w:r>
      </w:hyperlink>
    </w:p>
    <w:p w14:paraId="36784CBE" w14:textId="77777777" w:rsidR="003A4209" w:rsidRDefault="009B24AF">
      <w:pPr>
        <w:pStyle w:val="TM2"/>
        <w:tabs>
          <w:tab w:val="right" w:leader="dot" w:pos="9610"/>
        </w:tabs>
        <w:rPr>
          <w:rFonts w:ascii="Calibri" w:hAnsi="Calibri"/>
          <w:noProof/>
          <w:sz w:val="22"/>
        </w:rPr>
      </w:pPr>
      <w:hyperlink w:anchor="_Toc256000020" w:history="1">
        <w:r>
          <w:rPr>
            <w:rStyle w:val="Lienhypertexte"/>
            <w:rFonts w:ascii="Tahoma" w:eastAsia="Tahoma" w:hAnsi="Tahoma" w:cs="Tahoma"/>
            <w:lang w:val="fr-FR"/>
          </w:rPr>
          <w:t>6.1 - Transmission électronique</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_Toc256000020 \h </w:instrText>
        </w:r>
        <w:r>
          <w:rPr>
            <w:rFonts w:ascii="Tahoma" w:eastAsia="Tahoma" w:hAnsi="Tahoma" w:cs="Tahoma"/>
          </w:rPr>
        </w:r>
        <w:r>
          <w:rPr>
            <w:rFonts w:ascii="Tahoma" w:eastAsia="Tahoma" w:hAnsi="Tahoma" w:cs="Tahoma"/>
          </w:rPr>
          <w:fldChar w:fldCharType="separate"/>
        </w:r>
        <w:r>
          <w:rPr>
            <w:rFonts w:ascii="Tahoma" w:eastAsia="Tahoma" w:hAnsi="Tahoma" w:cs="Tahoma"/>
          </w:rPr>
          <w:t>6</w:t>
        </w:r>
        <w:r>
          <w:rPr>
            <w:rFonts w:ascii="Tahoma" w:eastAsia="Tahoma" w:hAnsi="Tahoma" w:cs="Tahoma"/>
          </w:rPr>
          <w:fldChar w:fldCharType="end"/>
        </w:r>
      </w:hyperlink>
    </w:p>
    <w:p w14:paraId="4024DCE1" w14:textId="77777777" w:rsidR="003A4209" w:rsidRDefault="009B24AF">
      <w:pPr>
        <w:pStyle w:val="TM2"/>
        <w:tabs>
          <w:tab w:val="right" w:leader="dot" w:pos="9610"/>
        </w:tabs>
        <w:rPr>
          <w:rFonts w:ascii="Calibri" w:hAnsi="Calibri"/>
          <w:noProof/>
          <w:sz w:val="22"/>
        </w:rPr>
      </w:pPr>
      <w:hyperlink w:anchor="_Toc256000021" w:history="1">
        <w:r>
          <w:rPr>
            <w:rStyle w:val="Lienhypertexte"/>
            <w:rFonts w:ascii="Tahoma" w:eastAsia="Tahoma" w:hAnsi="Tahoma" w:cs="Tahoma"/>
            <w:lang w:val="fr-FR"/>
          </w:rPr>
          <w:t>6.2 - Transmission sous support papier</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_Toc256000021 \h </w:instrText>
        </w:r>
        <w:r>
          <w:rPr>
            <w:rFonts w:ascii="Tahoma" w:eastAsia="Tahoma" w:hAnsi="Tahoma" w:cs="Tahoma"/>
          </w:rPr>
        </w:r>
        <w:r>
          <w:rPr>
            <w:rFonts w:ascii="Tahoma" w:eastAsia="Tahoma" w:hAnsi="Tahoma" w:cs="Tahoma"/>
          </w:rPr>
          <w:fldChar w:fldCharType="separate"/>
        </w:r>
        <w:r>
          <w:rPr>
            <w:rFonts w:ascii="Tahoma" w:eastAsia="Tahoma" w:hAnsi="Tahoma" w:cs="Tahoma"/>
          </w:rPr>
          <w:t>8</w:t>
        </w:r>
        <w:r>
          <w:rPr>
            <w:rFonts w:ascii="Tahoma" w:eastAsia="Tahoma" w:hAnsi="Tahoma" w:cs="Tahoma"/>
          </w:rPr>
          <w:fldChar w:fldCharType="end"/>
        </w:r>
      </w:hyperlink>
    </w:p>
    <w:p w14:paraId="613A84FE" w14:textId="77777777" w:rsidR="003A4209" w:rsidRDefault="009B24AF">
      <w:pPr>
        <w:pStyle w:val="TM1"/>
        <w:tabs>
          <w:tab w:val="right" w:leader="dot" w:pos="9610"/>
        </w:tabs>
        <w:rPr>
          <w:rFonts w:ascii="Calibri" w:hAnsi="Calibri"/>
          <w:noProof/>
          <w:sz w:val="22"/>
        </w:rPr>
      </w:pPr>
      <w:hyperlink w:anchor="_Toc256000022" w:history="1">
        <w:r>
          <w:rPr>
            <w:rStyle w:val="Lienhypertexte"/>
            <w:rFonts w:ascii="Tahoma" w:eastAsia="Tahoma" w:hAnsi="Tahoma" w:cs="Tahoma"/>
            <w:lang w:val="fr-FR"/>
          </w:rPr>
          <w:t>7 - Examen des candidatures et des offres</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_Toc256000022 \h </w:instrText>
        </w:r>
        <w:r>
          <w:rPr>
            <w:rFonts w:ascii="Tahoma" w:eastAsia="Tahoma" w:hAnsi="Tahoma" w:cs="Tahoma"/>
          </w:rPr>
        </w:r>
        <w:r>
          <w:rPr>
            <w:rFonts w:ascii="Tahoma" w:eastAsia="Tahoma" w:hAnsi="Tahoma" w:cs="Tahoma"/>
          </w:rPr>
          <w:fldChar w:fldCharType="separate"/>
        </w:r>
        <w:r>
          <w:rPr>
            <w:rFonts w:ascii="Tahoma" w:eastAsia="Tahoma" w:hAnsi="Tahoma" w:cs="Tahoma"/>
          </w:rPr>
          <w:t>8</w:t>
        </w:r>
        <w:r>
          <w:rPr>
            <w:rFonts w:ascii="Tahoma" w:eastAsia="Tahoma" w:hAnsi="Tahoma" w:cs="Tahoma"/>
          </w:rPr>
          <w:fldChar w:fldCharType="end"/>
        </w:r>
      </w:hyperlink>
    </w:p>
    <w:p w14:paraId="1D0CFBA3" w14:textId="77777777" w:rsidR="003A4209" w:rsidRDefault="009B24AF">
      <w:pPr>
        <w:pStyle w:val="TM2"/>
        <w:tabs>
          <w:tab w:val="right" w:leader="dot" w:pos="9610"/>
        </w:tabs>
        <w:rPr>
          <w:rFonts w:ascii="Calibri" w:hAnsi="Calibri"/>
          <w:noProof/>
          <w:sz w:val="22"/>
        </w:rPr>
      </w:pPr>
      <w:hyperlink w:anchor="_Toc256000023" w:history="1">
        <w:r>
          <w:rPr>
            <w:rStyle w:val="Lienhypertexte"/>
            <w:rFonts w:ascii="Tahoma" w:eastAsia="Tahoma" w:hAnsi="Tahoma" w:cs="Tahoma"/>
            <w:lang w:val="fr-FR"/>
          </w:rPr>
          <w:t>7.1 - Sélection des candidatures</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_Toc25600002</w:instrText>
        </w:r>
        <w:r>
          <w:rPr>
            <w:rFonts w:ascii="Tahoma" w:eastAsia="Tahoma" w:hAnsi="Tahoma" w:cs="Tahoma"/>
          </w:rPr>
          <w:instrText xml:space="preserve">3 \h </w:instrText>
        </w:r>
        <w:r>
          <w:rPr>
            <w:rFonts w:ascii="Tahoma" w:eastAsia="Tahoma" w:hAnsi="Tahoma" w:cs="Tahoma"/>
          </w:rPr>
        </w:r>
        <w:r>
          <w:rPr>
            <w:rFonts w:ascii="Tahoma" w:eastAsia="Tahoma" w:hAnsi="Tahoma" w:cs="Tahoma"/>
          </w:rPr>
          <w:fldChar w:fldCharType="separate"/>
        </w:r>
        <w:r>
          <w:rPr>
            <w:rFonts w:ascii="Tahoma" w:eastAsia="Tahoma" w:hAnsi="Tahoma" w:cs="Tahoma"/>
          </w:rPr>
          <w:t>8</w:t>
        </w:r>
        <w:r>
          <w:rPr>
            <w:rFonts w:ascii="Tahoma" w:eastAsia="Tahoma" w:hAnsi="Tahoma" w:cs="Tahoma"/>
          </w:rPr>
          <w:fldChar w:fldCharType="end"/>
        </w:r>
      </w:hyperlink>
    </w:p>
    <w:p w14:paraId="161E5D41" w14:textId="77777777" w:rsidR="003A4209" w:rsidRDefault="009B24AF">
      <w:pPr>
        <w:pStyle w:val="TM2"/>
        <w:tabs>
          <w:tab w:val="right" w:leader="dot" w:pos="9610"/>
        </w:tabs>
        <w:rPr>
          <w:rFonts w:ascii="Calibri" w:hAnsi="Calibri"/>
          <w:noProof/>
          <w:sz w:val="22"/>
        </w:rPr>
      </w:pPr>
      <w:hyperlink w:anchor="_Toc256000024" w:history="1">
        <w:r>
          <w:rPr>
            <w:rStyle w:val="Lienhypertexte"/>
            <w:rFonts w:ascii="Tahoma" w:eastAsia="Tahoma" w:hAnsi="Tahoma" w:cs="Tahoma"/>
            <w:lang w:val="fr-FR"/>
          </w:rPr>
          <w:t>7.2 - Attribution des accords-cadres</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_Toc256000024 \h </w:instrText>
        </w:r>
        <w:r>
          <w:rPr>
            <w:rFonts w:ascii="Tahoma" w:eastAsia="Tahoma" w:hAnsi="Tahoma" w:cs="Tahoma"/>
          </w:rPr>
        </w:r>
        <w:r>
          <w:rPr>
            <w:rFonts w:ascii="Tahoma" w:eastAsia="Tahoma" w:hAnsi="Tahoma" w:cs="Tahoma"/>
          </w:rPr>
          <w:fldChar w:fldCharType="separate"/>
        </w:r>
        <w:r>
          <w:rPr>
            <w:rFonts w:ascii="Tahoma" w:eastAsia="Tahoma" w:hAnsi="Tahoma" w:cs="Tahoma"/>
          </w:rPr>
          <w:t>8</w:t>
        </w:r>
        <w:r>
          <w:rPr>
            <w:rFonts w:ascii="Tahoma" w:eastAsia="Tahoma" w:hAnsi="Tahoma" w:cs="Tahoma"/>
          </w:rPr>
          <w:fldChar w:fldCharType="end"/>
        </w:r>
      </w:hyperlink>
    </w:p>
    <w:p w14:paraId="25EC5391" w14:textId="77777777" w:rsidR="003A4209" w:rsidRDefault="009B24AF">
      <w:pPr>
        <w:pStyle w:val="TM2"/>
        <w:tabs>
          <w:tab w:val="right" w:leader="dot" w:pos="9610"/>
        </w:tabs>
        <w:rPr>
          <w:rFonts w:ascii="Calibri" w:hAnsi="Calibri"/>
          <w:noProof/>
          <w:sz w:val="22"/>
        </w:rPr>
      </w:pPr>
      <w:hyperlink w:anchor="_Toc256000025" w:history="1">
        <w:r>
          <w:rPr>
            <w:rStyle w:val="Lienhypertexte"/>
            <w:rFonts w:ascii="Tahoma" w:eastAsia="Tahoma" w:hAnsi="Tahoma" w:cs="Tahoma"/>
            <w:lang w:val="fr-FR"/>
          </w:rPr>
          <w:t>7.3 - Suite à donner à la consultation</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_Toc256000025 \h </w:instrText>
        </w:r>
        <w:r>
          <w:rPr>
            <w:rFonts w:ascii="Tahoma" w:eastAsia="Tahoma" w:hAnsi="Tahoma" w:cs="Tahoma"/>
          </w:rPr>
        </w:r>
        <w:r>
          <w:rPr>
            <w:rFonts w:ascii="Tahoma" w:eastAsia="Tahoma" w:hAnsi="Tahoma" w:cs="Tahoma"/>
          </w:rPr>
          <w:fldChar w:fldCharType="separate"/>
        </w:r>
        <w:r>
          <w:rPr>
            <w:rFonts w:ascii="Tahoma" w:eastAsia="Tahoma" w:hAnsi="Tahoma" w:cs="Tahoma"/>
          </w:rPr>
          <w:t>9</w:t>
        </w:r>
        <w:r>
          <w:rPr>
            <w:rFonts w:ascii="Tahoma" w:eastAsia="Tahoma" w:hAnsi="Tahoma" w:cs="Tahoma"/>
          </w:rPr>
          <w:fldChar w:fldCharType="end"/>
        </w:r>
      </w:hyperlink>
    </w:p>
    <w:p w14:paraId="764EAA0E" w14:textId="77777777" w:rsidR="003A4209" w:rsidRDefault="009B24AF">
      <w:pPr>
        <w:pStyle w:val="TM1"/>
        <w:tabs>
          <w:tab w:val="right" w:leader="dot" w:pos="9610"/>
        </w:tabs>
        <w:rPr>
          <w:rFonts w:ascii="Calibri" w:hAnsi="Calibri"/>
          <w:noProof/>
          <w:sz w:val="22"/>
        </w:rPr>
      </w:pPr>
      <w:hyperlink w:anchor="_Toc256000026" w:history="1">
        <w:r>
          <w:rPr>
            <w:rStyle w:val="Lienhypertexte"/>
            <w:rFonts w:ascii="Tahoma" w:eastAsia="Tahoma" w:hAnsi="Tahoma" w:cs="Tahoma"/>
            <w:lang w:val="fr-FR"/>
          </w:rPr>
          <w:t>8 - Renseignements complémentaires</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_Toc256000026 \h </w:instrText>
        </w:r>
        <w:r>
          <w:rPr>
            <w:rFonts w:ascii="Tahoma" w:eastAsia="Tahoma" w:hAnsi="Tahoma" w:cs="Tahoma"/>
          </w:rPr>
        </w:r>
        <w:r>
          <w:rPr>
            <w:rFonts w:ascii="Tahoma" w:eastAsia="Tahoma" w:hAnsi="Tahoma" w:cs="Tahoma"/>
          </w:rPr>
          <w:fldChar w:fldCharType="separate"/>
        </w:r>
        <w:r>
          <w:rPr>
            <w:rFonts w:ascii="Tahoma" w:eastAsia="Tahoma" w:hAnsi="Tahoma" w:cs="Tahoma"/>
          </w:rPr>
          <w:t>9</w:t>
        </w:r>
        <w:r>
          <w:rPr>
            <w:rFonts w:ascii="Tahoma" w:eastAsia="Tahoma" w:hAnsi="Tahoma" w:cs="Tahoma"/>
          </w:rPr>
          <w:fldChar w:fldCharType="end"/>
        </w:r>
      </w:hyperlink>
    </w:p>
    <w:p w14:paraId="42DEC6C2" w14:textId="77777777" w:rsidR="003A4209" w:rsidRDefault="009B24AF">
      <w:pPr>
        <w:pStyle w:val="TM2"/>
        <w:tabs>
          <w:tab w:val="right" w:leader="dot" w:pos="9610"/>
        </w:tabs>
        <w:rPr>
          <w:rFonts w:ascii="Calibri" w:hAnsi="Calibri"/>
          <w:noProof/>
          <w:sz w:val="22"/>
        </w:rPr>
      </w:pPr>
      <w:hyperlink w:anchor="_Toc256000027" w:history="1">
        <w:r>
          <w:rPr>
            <w:rStyle w:val="Lienhypertexte"/>
            <w:rFonts w:ascii="Tahoma" w:eastAsia="Tahoma" w:hAnsi="Tahoma" w:cs="Tahoma"/>
            <w:lang w:val="fr-FR"/>
          </w:rPr>
          <w:t>8.1 - Adresses supplémentaires et points de contact</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_Toc256000027 \h </w:instrText>
        </w:r>
        <w:r>
          <w:rPr>
            <w:rFonts w:ascii="Tahoma" w:eastAsia="Tahoma" w:hAnsi="Tahoma" w:cs="Tahoma"/>
          </w:rPr>
        </w:r>
        <w:r>
          <w:rPr>
            <w:rFonts w:ascii="Tahoma" w:eastAsia="Tahoma" w:hAnsi="Tahoma" w:cs="Tahoma"/>
          </w:rPr>
          <w:fldChar w:fldCharType="separate"/>
        </w:r>
        <w:r>
          <w:rPr>
            <w:rFonts w:ascii="Tahoma" w:eastAsia="Tahoma" w:hAnsi="Tahoma" w:cs="Tahoma"/>
          </w:rPr>
          <w:t>9</w:t>
        </w:r>
        <w:r>
          <w:rPr>
            <w:rFonts w:ascii="Tahoma" w:eastAsia="Tahoma" w:hAnsi="Tahoma" w:cs="Tahoma"/>
          </w:rPr>
          <w:fldChar w:fldCharType="end"/>
        </w:r>
      </w:hyperlink>
    </w:p>
    <w:p w14:paraId="777BDB10" w14:textId="77777777" w:rsidR="003A4209" w:rsidRDefault="009B24AF">
      <w:pPr>
        <w:pStyle w:val="TM2"/>
        <w:tabs>
          <w:tab w:val="right" w:leader="dot" w:pos="9610"/>
        </w:tabs>
        <w:rPr>
          <w:rFonts w:ascii="Calibri" w:hAnsi="Calibri"/>
          <w:noProof/>
          <w:sz w:val="22"/>
        </w:rPr>
      </w:pPr>
      <w:hyperlink w:anchor="_Toc256000028" w:history="1">
        <w:r>
          <w:rPr>
            <w:rStyle w:val="Lienhypertexte"/>
            <w:rFonts w:ascii="Tahoma" w:eastAsia="Tahoma" w:hAnsi="Tahoma" w:cs="Tahoma"/>
            <w:lang w:val="fr-FR"/>
          </w:rPr>
          <w:t>8.2 - Procédures de recours</w:t>
        </w:r>
        <w:r>
          <w:rPr>
            <w:rFonts w:ascii="Tahoma" w:eastAsia="Tahoma" w:hAnsi="Tahoma" w:cs="Tahoma"/>
          </w:rPr>
          <w:tab/>
        </w:r>
        <w:r>
          <w:rPr>
            <w:rFonts w:ascii="Tahoma" w:eastAsia="Tahoma" w:hAnsi="Tahoma" w:cs="Tahoma"/>
          </w:rPr>
          <w:fldChar w:fldCharType="begin"/>
        </w:r>
        <w:r>
          <w:rPr>
            <w:rFonts w:ascii="Tahoma" w:eastAsia="Tahoma" w:hAnsi="Tahoma" w:cs="Tahoma"/>
          </w:rPr>
          <w:instrText xml:space="preserve"> PAGEREF _Toc256000028 \h </w:instrText>
        </w:r>
        <w:r>
          <w:rPr>
            <w:rFonts w:ascii="Tahoma" w:eastAsia="Tahoma" w:hAnsi="Tahoma" w:cs="Tahoma"/>
          </w:rPr>
        </w:r>
        <w:r>
          <w:rPr>
            <w:rFonts w:ascii="Tahoma" w:eastAsia="Tahoma" w:hAnsi="Tahoma" w:cs="Tahoma"/>
          </w:rPr>
          <w:fldChar w:fldCharType="separate"/>
        </w:r>
        <w:r>
          <w:rPr>
            <w:rFonts w:ascii="Tahoma" w:eastAsia="Tahoma" w:hAnsi="Tahoma" w:cs="Tahoma"/>
          </w:rPr>
          <w:t>11</w:t>
        </w:r>
        <w:r>
          <w:rPr>
            <w:rFonts w:ascii="Tahoma" w:eastAsia="Tahoma" w:hAnsi="Tahoma" w:cs="Tahoma"/>
          </w:rPr>
          <w:fldChar w:fldCharType="end"/>
        </w:r>
      </w:hyperlink>
    </w:p>
    <w:p w14:paraId="658FE5CD" w14:textId="77777777" w:rsidR="003A4209" w:rsidRDefault="009B24AF">
      <w:pPr>
        <w:spacing w:after="100"/>
        <w:jc w:val="both"/>
        <w:rPr>
          <w:rFonts w:ascii="Tahoma" w:eastAsia="Tahoma" w:hAnsi="Tahoma" w:cs="Tahoma"/>
          <w:color w:val="000000"/>
          <w:sz w:val="22"/>
          <w:lang w:val="fr-FR"/>
        </w:rPr>
        <w:sectPr w:rsidR="003A4209">
          <w:pgSz w:w="11900" w:h="16840"/>
          <w:pgMar w:top="1140" w:right="1140" w:bottom="1440" w:left="1140" w:header="1140" w:footer="1440" w:gutter="0"/>
          <w:cols w:space="708"/>
        </w:sectPr>
      </w:pPr>
      <w:r>
        <w:rPr>
          <w:rFonts w:ascii="Tahoma" w:eastAsia="Tahoma" w:hAnsi="Tahoma" w:cs="Tahoma"/>
          <w:color w:val="000000"/>
          <w:sz w:val="22"/>
          <w:lang w:val="fr-FR"/>
        </w:rPr>
        <w:fldChar w:fldCharType="end"/>
      </w:r>
    </w:p>
    <w:p w14:paraId="5C6FE660" w14:textId="77777777" w:rsidR="003A4209" w:rsidRDefault="009B24AF">
      <w:pPr>
        <w:pStyle w:val="Titre1"/>
        <w:rPr>
          <w:rFonts w:ascii="Tahoma" w:eastAsia="Tahoma" w:hAnsi="Tahoma" w:cs="Tahoma"/>
          <w:color w:val="000000"/>
          <w:sz w:val="28"/>
          <w:lang w:val="fr-FR"/>
        </w:rPr>
      </w:pPr>
      <w:bookmarkStart w:id="0" w:name="ArtL1_RC-2-A2"/>
      <w:bookmarkStart w:id="1" w:name="_Toc256000000"/>
      <w:bookmarkEnd w:id="0"/>
      <w:r>
        <w:rPr>
          <w:rFonts w:ascii="Tahoma" w:eastAsia="Tahoma" w:hAnsi="Tahoma" w:cs="Tahoma"/>
          <w:color w:val="000000"/>
          <w:sz w:val="28"/>
          <w:lang w:val="fr-FR"/>
        </w:rPr>
        <w:lastRenderedPageBreak/>
        <w:t xml:space="preserve">1 - </w:t>
      </w:r>
      <w:r>
        <w:rPr>
          <w:rFonts w:ascii="Tahoma" w:eastAsia="Tahoma" w:hAnsi="Tahoma" w:cs="Tahoma"/>
          <w:color w:val="000000"/>
          <w:sz w:val="28"/>
          <w:lang w:val="fr-FR"/>
        </w:rPr>
        <w:t>Objet et étendue de la consultation</w:t>
      </w:r>
      <w:bookmarkEnd w:id="1"/>
    </w:p>
    <w:p w14:paraId="4BE5E936" w14:textId="77777777" w:rsidR="003A4209" w:rsidRDefault="009B24AF">
      <w:pPr>
        <w:pStyle w:val="Titre2"/>
        <w:ind w:left="280"/>
        <w:jc w:val="both"/>
        <w:rPr>
          <w:rFonts w:ascii="Tahoma" w:eastAsia="Tahoma" w:hAnsi="Tahoma" w:cs="Tahoma"/>
          <w:i w:val="0"/>
          <w:color w:val="000000"/>
          <w:sz w:val="24"/>
          <w:lang w:val="fr-FR"/>
        </w:rPr>
      </w:pPr>
      <w:bookmarkStart w:id="2" w:name="ArtL2_RC-2-A2.1"/>
      <w:bookmarkStart w:id="3" w:name="_Toc256000001"/>
      <w:bookmarkEnd w:id="2"/>
      <w:r>
        <w:rPr>
          <w:rFonts w:ascii="Tahoma" w:eastAsia="Tahoma" w:hAnsi="Tahoma" w:cs="Tahoma"/>
          <w:i w:val="0"/>
          <w:color w:val="000000"/>
          <w:sz w:val="24"/>
          <w:lang w:val="fr-FR"/>
        </w:rPr>
        <w:t>1.1 - Objet</w:t>
      </w:r>
      <w:bookmarkEnd w:id="3"/>
    </w:p>
    <w:p w14:paraId="4E308B84" w14:textId="77777777" w:rsidR="003A4209" w:rsidRDefault="009B24AF">
      <w:pPr>
        <w:pStyle w:val="ParagrapheIndent2"/>
        <w:spacing w:line="241" w:lineRule="exact"/>
        <w:jc w:val="both"/>
        <w:rPr>
          <w:color w:val="000000"/>
          <w:lang w:val="fr-FR"/>
        </w:rPr>
      </w:pPr>
      <w:r>
        <w:rPr>
          <w:color w:val="000000"/>
          <w:lang w:val="fr-FR"/>
        </w:rPr>
        <w:t>La présente consultation concerne :</w:t>
      </w:r>
    </w:p>
    <w:p w14:paraId="37652B0F" w14:textId="77777777" w:rsidR="003A4209" w:rsidRDefault="009B24AF">
      <w:pPr>
        <w:pStyle w:val="ParagrapheIndent2"/>
        <w:spacing w:line="241" w:lineRule="exact"/>
        <w:jc w:val="both"/>
        <w:rPr>
          <w:color w:val="000000"/>
          <w:lang w:val="fr-FR"/>
        </w:rPr>
      </w:pPr>
      <w:r>
        <w:rPr>
          <w:color w:val="000000"/>
          <w:lang w:val="fr-FR"/>
        </w:rPr>
        <w:t>FOURNITURE DE MACHINES D'IMPRESSION GRAND FORMAT ET SERVICES ASSOCIES - RELANCE</w:t>
      </w:r>
    </w:p>
    <w:p w14:paraId="3F31ABB3" w14:textId="77777777" w:rsidR="003A4209" w:rsidRDefault="003A4209">
      <w:pPr>
        <w:pStyle w:val="ParagrapheIndent2"/>
        <w:spacing w:line="241" w:lineRule="exact"/>
        <w:jc w:val="both"/>
        <w:rPr>
          <w:color w:val="000000"/>
          <w:lang w:val="fr-FR"/>
        </w:rPr>
      </w:pPr>
    </w:p>
    <w:p w14:paraId="6F94D647" w14:textId="77777777" w:rsidR="003A4209" w:rsidRDefault="009B24AF">
      <w:pPr>
        <w:pStyle w:val="ParagrapheIndent2"/>
        <w:spacing w:after="240" w:line="241" w:lineRule="exact"/>
        <w:jc w:val="both"/>
        <w:rPr>
          <w:color w:val="000000"/>
          <w:lang w:val="fr-FR"/>
        </w:rPr>
      </w:pPr>
      <w:r>
        <w:rPr>
          <w:color w:val="000000"/>
          <w:lang w:val="fr-FR"/>
        </w:rPr>
        <w:t xml:space="preserve">La présente consultation est consécutive à une déclaration sans suite de la </w:t>
      </w:r>
      <w:r>
        <w:rPr>
          <w:color w:val="000000"/>
          <w:lang w:val="fr-FR"/>
        </w:rPr>
        <w:t>précédente mise en concurrence</w:t>
      </w:r>
    </w:p>
    <w:p w14:paraId="3BED6358" w14:textId="77777777" w:rsidR="003A4209" w:rsidRDefault="009B24AF">
      <w:pPr>
        <w:pStyle w:val="ParagrapheIndent2"/>
        <w:spacing w:line="241" w:lineRule="exact"/>
        <w:jc w:val="both"/>
        <w:rPr>
          <w:color w:val="000000"/>
          <w:lang w:val="fr-FR"/>
        </w:rPr>
      </w:pPr>
      <w:r>
        <w:rPr>
          <w:color w:val="000000"/>
          <w:lang w:val="fr-FR"/>
        </w:rPr>
        <w:t>Lieu(x) d'exécution :</w:t>
      </w:r>
    </w:p>
    <w:p w14:paraId="1D09030F" w14:textId="77777777" w:rsidR="003A4209" w:rsidRDefault="009B24AF">
      <w:pPr>
        <w:pStyle w:val="ParagrapheIndent2"/>
        <w:spacing w:line="241" w:lineRule="exact"/>
        <w:jc w:val="both"/>
        <w:rPr>
          <w:color w:val="000000"/>
          <w:lang w:val="fr-FR"/>
        </w:rPr>
      </w:pPr>
      <w:r>
        <w:rPr>
          <w:color w:val="000000"/>
          <w:lang w:val="fr-FR"/>
        </w:rPr>
        <w:t>Centre Technique Municipal</w:t>
      </w:r>
    </w:p>
    <w:p w14:paraId="7DC712FD" w14:textId="77777777" w:rsidR="003A4209" w:rsidRDefault="009B24AF">
      <w:pPr>
        <w:pStyle w:val="ParagrapheIndent2"/>
        <w:spacing w:line="241" w:lineRule="exact"/>
        <w:jc w:val="both"/>
        <w:rPr>
          <w:color w:val="000000"/>
          <w:lang w:val="fr-FR"/>
        </w:rPr>
      </w:pPr>
      <w:r>
        <w:rPr>
          <w:color w:val="000000"/>
          <w:lang w:val="fr-FR"/>
        </w:rPr>
        <w:t>Rue Blaise Pascal</w:t>
      </w:r>
    </w:p>
    <w:p w14:paraId="59306B1F" w14:textId="77777777" w:rsidR="003A4209" w:rsidRDefault="009B24AF">
      <w:pPr>
        <w:pStyle w:val="ParagrapheIndent2"/>
        <w:spacing w:after="240" w:line="241" w:lineRule="exact"/>
        <w:jc w:val="both"/>
        <w:rPr>
          <w:color w:val="000000"/>
          <w:lang w:val="fr-FR"/>
        </w:rPr>
      </w:pPr>
      <w:r>
        <w:rPr>
          <w:color w:val="000000"/>
          <w:lang w:val="fr-FR"/>
        </w:rPr>
        <w:t>17180 Périgny</w:t>
      </w:r>
    </w:p>
    <w:p w14:paraId="318A5DCD" w14:textId="77777777" w:rsidR="003A4209" w:rsidRDefault="009B24AF">
      <w:pPr>
        <w:pStyle w:val="Titre2"/>
        <w:ind w:left="280"/>
        <w:jc w:val="both"/>
        <w:rPr>
          <w:rFonts w:ascii="Tahoma" w:eastAsia="Tahoma" w:hAnsi="Tahoma" w:cs="Tahoma"/>
          <w:i w:val="0"/>
          <w:color w:val="000000"/>
          <w:sz w:val="24"/>
          <w:lang w:val="fr-FR"/>
        </w:rPr>
      </w:pPr>
      <w:bookmarkStart w:id="4" w:name="ArtL2_RC-2-A2.3"/>
      <w:bookmarkStart w:id="5" w:name="_Toc256000002"/>
      <w:bookmarkEnd w:id="4"/>
      <w:r>
        <w:rPr>
          <w:rFonts w:ascii="Tahoma" w:eastAsia="Tahoma" w:hAnsi="Tahoma" w:cs="Tahoma"/>
          <w:i w:val="0"/>
          <w:color w:val="000000"/>
          <w:sz w:val="24"/>
          <w:lang w:val="fr-FR"/>
        </w:rPr>
        <w:t>1.2 - Mode de passation</w:t>
      </w:r>
      <w:bookmarkEnd w:id="5"/>
    </w:p>
    <w:p w14:paraId="243D5DA3" w14:textId="77777777" w:rsidR="003A4209" w:rsidRDefault="009B24AF">
      <w:pPr>
        <w:pStyle w:val="ParagrapheIndent2"/>
        <w:spacing w:after="240" w:line="241" w:lineRule="exact"/>
        <w:jc w:val="both"/>
        <w:rPr>
          <w:color w:val="000000"/>
          <w:lang w:val="fr-FR"/>
        </w:rPr>
      </w:pPr>
      <w:r>
        <w:rPr>
          <w:color w:val="000000"/>
          <w:lang w:val="fr-FR"/>
        </w:rPr>
        <w:t>La procédure de passation utilisée est : la procédure adaptée ouverte. Elle est soumise aux dispositions des articles L.</w:t>
      </w:r>
      <w:r>
        <w:rPr>
          <w:color w:val="000000"/>
          <w:lang w:val="fr-FR"/>
        </w:rPr>
        <w:t xml:space="preserve"> 2123-1 et R. 2123-1 1° du Code de la commande publique.</w:t>
      </w:r>
    </w:p>
    <w:p w14:paraId="613DF9B9" w14:textId="77777777" w:rsidR="003A4209" w:rsidRDefault="009B24AF">
      <w:pPr>
        <w:pStyle w:val="Titre2"/>
        <w:ind w:left="280"/>
        <w:jc w:val="both"/>
        <w:rPr>
          <w:rFonts w:ascii="Tahoma" w:eastAsia="Tahoma" w:hAnsi="Tahoma" w:cs="Tahoma"/>
          <w:i w:val="0"/>
          <w:color w:val="000000"/>
          <w:sz w:val="24"/>
          <w:lang w:val="fr-FR"/>
        </w:rPr>
      </w:pPr>
      <w:bookmarkStart w:id="6" w:name="ArtL2_RC-2-A2.4"/>
      <w:bookmarkStart w:id="7" w:name="_Toc256000003"/>
      <w:bookmarkEnd w:id="6"/>
      <w:r>
        <w:rPr>
          <w:rFonts w:ascii="Tahoma" w:eastAsia="Tahoma" w:hAnsi="Tahoma" w:cs="Tahoma"/>
          <w:i w:val="0"/>
          <w:color w:val="000000"/>
          <w:sz w:val="24"/>
          <w:lang w:val="fr-FR"/>
        </w:rPr>
        <w:t>1.3 - Type et forme de contrat</w:t>
      </w:r>
      <w:bookmarkEnd w:id="7"/>
    </w:p>
    <w:p w14:paraId="21A2214D" w14:textId="77777777" w:rsidR="003A4209" w:rsidRDefault="009B24AF">
      <w:pPr>
        <w:pStyle w:val="ParagrapheIndent2"/>
        <w:spacing w:after="240" w:line="241" w:lineRule="exact"/>
        <w:jc w:val="both"/>
        <w:rPr>
          <w:color w:val="000000"/>
          <w:lang w:val="fr-FR"/>
        </w:rPr>
      </w:pPr>
      <w:r>
        <w:rPr>
          <w:color w:val="000000"/>
          <w:lang w:val="fr-FR"/>
        </w:rPr>
        <w:t>L'accord-cadre avec maximum est passé en application des articles L2125-1 1°, R. 2162-1 à R. 2162-6, R. 2162-13 et R. 2162-14 du Code de la commande publique. Il donner</w:t>
      </w:r>
      <w:r>
        <w:rPr>
          <w:color w:val="000000"/>
          <w:lang w:val="fr-FR"/>
        </w:rPr>
        <w:t>a lieu à l'émission de bons de commande.</w:t>
      </w:r>
    </w:p>
    <w:p w14:paraId="63E43A72" w14:textId="77777777" w:rsidR="003A4209" w:rsidRDefault="009B24AF">
      <w:pPr>
        <w:pStyle w:val="Titre2"/>
        <w:ind w:left="280"/>
        <w:jc w:val="both"/>
        <w:rPr>
          <w:rFonts w:ascii="Tahoma" w:eastAsia="Tahoma" w:hAnsi="Tahoma" w:cs="Tahoma"/>
          <w:i w:val="0"/>
          <w:color w:val="000000"/>
          <w:sz w:val="24"/>
          <w:lang w:val="fr-FR"/>
        </w:rPr>
      </w:pPr>
      <w:bookmarkStart w:id="8" w:name="ArtL2_RC-2-A2.5"/>
      <w:bookmarkStart w:id="9" w:name="_Toc256000004"/>
      <w:bookmarkEnd w:id="8"/>
      <w:r>
        <w:rPr>
          <w:rFonts w:ascii="Tahoma" w:eastAsia="Tahoma" w:hAnsi="Tahoma" w:cs="Tahoma"/>
          <w:i w:val="0"/>
          <w:color w:val="000000"/>
          <w:sz w:val="24"/>
          <w:lang w:val="fr-FR"/>
        </w:rPr>
        <w:t>1.4 - Décomposition de la consultation</w:t>
      </w:r>
      <w:bookmarkEnd w:id="9"/>
    </w:p>
    <w:p w14:paraId="45A31F73" w14:textId="77777777" w:rsidR="003A4209" w:rsidRDefault="009B24AF">
      <w:pPr>
        <w:pStyle w:val="ParagrapheIndent2"/>
        <w:spacing w:after="240"/>
        <w:jc w:val="both"/>
        <w:rPr>
          <w:color w:val="000000"/>
          <w:lang w:val="fr-FR"/>
        </w:rPr>
      </w:pPr>
      <w:r>
        <w:rPr>
          <w:color w:val="000000"/>
          <w:lang w:val="fr-FR"/>
        </w:rPr>
        <w:t>Il n'est pas prévu de décomposition en lots.</w:t>
      </w:r>
    </w:p>
    <w:p w14:paraId="1DFA582B" w14:textId="77777777" w:rsidR="003A4209" w:rsidRDefault="009B24AF">
      <w:pPr>
        <w:pStyle w:val="ParagrapheIndent2"/>
        <w:spacing w:after="240" w:line="241" w:lineRule="exact"/>
        <w:jc w:val="both"/>
        <w:rPr>
          <w:color w:val="000000"/>
          <w:lang w:val="fr-FR"/>
        </w:rPr>
      </w:pPr>
      <w:r>
        <w:rPr>
          <w:color w:val="000000"/>
          <w:lang w:val="fr-FR"/>
        </w:rPr>
        <w:t>Le pouvoir adjudicateur a décidé de ne pas lancer la consultation en lots séparés pour les motifs suivants : L'allotissement risque</w:t>
      </w:r>
      <w:r>
        <w:rPr>
          <w:color w:val="000000"/>
          <w:lang w:val="fr-FR"/>
        </w:rPr>
        <w:t xml:space="preserve"> de rendre techniquement difficile ou financièrement plus coûteuse l'exécution des prestations..</w:t>
      </w:r>
    </w:p>
    <w:p w14:paraId="281537D9" w14:textId="77777777" w:rsidR="003A4209" w:rsidRDefault="009B24AF">
      <w:pPr>
        <w:pStyle w:val="Titre2"/>
        <w:ind w:left="280"/>
        <w:jc w:val="both"/>
        <w:rPr>
          <w:rFonts w:ascii="Tahoma" w:eastAsia="Tahoma" w:hAnsi="Tahoma" w:cs="Tahoma"/>
          <w:i w:val="0"/>
          <w:color w:val="000000"/>
          <w:sz w:val="24"/>
          <w:lang w:val="fr-FR"/>
        </w:rPr>
      </w:pPr>
      <w:bookmarkStart w:id="10" w:name="ArtL2_RC-2-A2.7"/>
      <w:bookmarkStart w:id="11" w:name="_Toc256000005"/>
      <w:bookmarkEnd w:id="10"/>
      <w:r>
        <w:rPr>
          <w:rFonts w:ascii="Tahoma" w:eastAsia="Tahoma" w:hAnsi="Tahoma" w:cs="Tahoma"/>
          <w:i w:val="0"/>
          <w:color w:val="000000"/>
          <w:sz w:val="24"/>
          <w:lang w:val="fr-FR"/>
        </w:rPr>
        <w:t>1.5 - Nomenclature</w:t>
      </w:r>
      <w:bookmarkEnd w:id="11"/>
    </w:p>
    <w:p w14:paraId="510C4B95" w14:textId="77777777" w:rsidR="003A4209" w:rsidRDefault="009B24AF">
      <w:pPr>
        <w:pStyle w:val="ParagrapheIndent2"/>
        <w:jc w:val="both"/>
        <w:rPr>
          <w:color w:val="000000"/>
          <w:lang w:val="fr-FR"/>
        </w:rPr>
      </w:pPr>
      <w:r>
        <w:rPr>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3A4209" w14:paraId="1E3275D8"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FBC8578" w14:textId="77777777" w:rsidR="003A4209" w:rsidRDefault="009B24AF">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E592D79" w14:textId="77777777" w:rsidR="003A4209" w:rsidRDefault="009B24AF">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Description</w:t>
            </w:r>
          </w:p>
        </w:tc>
      </w:tr>
      <w:tr w:rsidR="003A4209" w14:paraId="62026D01"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DF8EC0" w14:textId="77777777" w:rsidR="003A4209" w:rsidRDefault="009B24AF">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30232100-5</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7426D3" w14:textId="77777777" w:rsidR="003A4209" w:rsidRDefault="009B24AF">
            <w:pPr>
              <w:spacing w:before="60" w:after="40"/>
              <w:ind w:left="40" w:right="40"/>
              <w:jc w:val="both"/>
              <w:rPr>
                <w:rFonts w:ascii="Tahoma" w:eastAsia="Tahoma" w:hAnsi="Tahoma" w:cs="Tahoma"/>
                <w:color w:val="000000"/>
                <w:sz w:val="20"/>
                <w:lang w:val="fr-FR"/>
              </w:rPr>
            </w:pPr>
            <w:r>
              <w:rPr>
                <w:rFonts w:ascii="Tahoma" w:eastAsia="Tahoma" w:hAnsi="Tahoma" w:cs="Tahoma"/>
                <w:color w:val="000000"/>
                <w:sz w:val="20"/>
                <w:lang w:val="fr-FR"/>
              </w:rPr>
              <w:t>Imprimantes et traceurs</w:t>
            </w:r>
          </w:p>
        </w:tc>
      </w:tr>
    </w:tbl>
    <w:p w14:paraId="121C9F0D" w14:textId="77777777" w:rsidR="003A4209" w:rsidRDefault="009B24AF">
      <w:pPr>
        <w:spacing w:after="400" w:line="240" w:lineRule="exact"/>
      </w:pPr>
      <w:r>
        <w:t xml:space="preserve"> </w:t>
      </w:r>
    </w:p>
    <w:p w14:paraId="6F0E6779" w14:textId="77777777" w:rsidR="003A4209" w:rsidRDefault="009B24AF">
      <w:pPr>
        <w:pStyle w:val="Titre1"/>
        <w:rPr>
          <w:rFonts w:ascii="Tahoma" w:eastAsia="Tahoma" w:hAnsi="Tahoma" w:cs="Tahoma"/>
          <w:color w:val="000000"/>
          <w:sz w:val="28"/>
          <w:lang w:val="fr-FR"/>
        </w:rPr>
      </w:pPr>
      <w:bookmarkStart w:id="12" w:name="ArtL1_RC-2-A3"/>
      <w:bookmarkStart w:id="13" w:name="_Toc256000006"/>
      <w:bookmarkEnd w:id="12"/>
      <w:r>
        <w:rPr>
          <w:rFonts w:ascii="Tahoma" w:eastAsia="Tahoma" w:hAnsi="Tahoma" w:cs="Tahoma"/>
          <w:color w:val="000000"/>
          <w:sz w:val="28"/>
          <w:lang w:val="fr-FR"/>
        </w:rPr>
        <w:t>2 - Conditions de la consultation</w:t>
      </w:r>
      <w:bookmarkEnd w:id="13"/>
    </w:p>
    <w:p w14:paraId="16A47E2D" w14:textId="77777777" w:rsidR="003A4209" w:rsidRDefault="009B24AF">
      <w:pPr>
        <w:pStyle w:val="Titre2"/>
        <w:ind w:left="280"/>
        <w:jc w:val="both"/>
        <w:rPr>
          <w:rFonts w:ascii="Tahoma" w:eastAsia="Tahoma" w:hAnsi="Tahoma" w:cs="Tahoma"/>
          <w:i w:val="0"/>
          <w:color w:val="000000"/>
          <w:sz w:val="24"/>
          <w:lang w:val="fr-FR"/>
        </w:rPr>
      </w:pPr>
      <w:bookmarkStart w:id="14" w:name="ArtL2_RC-2-A3.2"/>
      <w:bookmarkStart w:id="15" w:name="_Toc256000007"/>
      <w:bookmarkEnd w:id="14"/>
      <w:r>
        <w:rPr>
          <w:rFonts w:ascii="Tahoma" w:eastAsia="Tahoma" w:hAnsi="Tahoma" w:cs="Tahoma"/>
          <w:i w:val="0"/>
          <w:color w:val="000000"/>
          <w:sz w:val="24"/>
          <w:lang w:val="fr-FR"/>
        </w:rPr>
        <w:t>2.1 - Délai de validité des offres</w:t>
      </w:r>
      <w:bookmarkEnd w:id="15"/>
    </w:p>
    <w:p w14:paraId="3F894982" w14:textId="77777777" w:rsidR="003A4209" w:rsidRDefault="009B24AF">
      <w:pPr>
        <w:pStyle w:val="ParagrapheIndent2"/>
        <w:spacing w:after="240"/>
        <w:jc w:val="both"/>
        <w:rPr>
          <w:color w:val="000000"/>
          <w:lang w:val="fr-FR"/>
        </w:rPr>
      </w:pPr>
      <w:r>
        <w:rPr>
          <w:color w:val="000000"/>
          <w:lang w:val="fr-FR"/>
        </w:rPr>
        <w:t>Le délai de validité des offres est fixé à 4 mois à compter de la date limite de réception des offres.</w:t>
      </w:r>
    </w:p>
    <w:p w14:paraId="10D5CCCE" w14:textId="77777777" w:rsidR="003A4209" w:rsidRDefault="009B24AF">
      <w:pPr>
        <w:pStyle w:val="Titre2"/>
        <w:ind w:left="280"/>
        <w:jc w:val="both"/>
        <w:rPr>
          <w:rFonts w:ascii="Tahoma" w:eastAsia="Tahoma" w:hAnsi="Tahoma" w:cs="Tahoma"/>
          <w:i w:val="0"/>
          <w:color w:val="000000"/>
          <w:sz w:val="24"/>
          <w:lang w:val="fr-FR"/>
        </w:rPr>
      </w:pPr>
      <w:bookmarkStart w:id="16" w:name="ArtL2_RC-2-A3.3"/>
      <w:bookmarkStart w:id="17" w:name="_Toc256000008"/>
      <w:bookmarkEnd w:id="16"/>
      <w:r>
        <w:rPr>
          <w:rFonts w:ascii="Tahoma" w:eastAsia="Tahoma" w:hAnsi="Tahoma" w:cs="Tahoma"/>
          <w:i w:val="0"/>
          <w:color w:val="000000"/>
          <w:sz w:val="24"/>
          <w:lang w:val="fr-FR"/>
        </w:rPr>
        <w:t>2.2 - Forme juridique du groupement</w:t>
      </w:r>
      <w:bookmarkEnd w:id="17"/>
    </w:p>
    <w:p w14:paraId="751EC6BC" w14:textId="77777777" w:rsidR="003A4209" w:rsidRDefault="009B24AF">
      <w:pPr>
        <w:pStyle w:val="ParagrapheIndent2"/>
        <w:spacing w:after="240"/>
        <w:jc w:val="both"/>
        <w:rPr>
          <w:color w:val="000000"/>
          <w:lang w:val="fr-FR"/>
        </w:rPr>
      </w:pPr>
      <w:r>
        <w:rPr>
          <w:color w:val="000000"/>
          <w:lang w:val="fr-FR"/>
        </w:rPr>
        <w:t xml:space="preserve">Le pouvoir </w:t>
      </w:r>
      <w:r>
        <w:rPr>
          <w:color w:val="000000"/>
          <w:lang w:val="fr-FR"/>
        </w:rPr>
        <w:t>adjudicateur ne souhaite imposer aucune forme de groupement à l'attributaire de l'accord-cadre.</w:t>
      </w:r>
    </w:p>
    <w:p w14:paraId="38BB1A93" w14:textId="77777777" w:rsidR="003A4209" w:rsidRDefault="009B24AF">
      <w:pPr>
        <w:pStyle w:val="Titre2"/>
        <w:ind w:left="280"/>
        <w:jc w:val="both"/>
        <w:rPr>
          <w:rFonts w:ascii="Tahoma" w:eastAsia="Tahoma" w:hAnsi="Tahoma" w:cs="Tahoma"/>
          <w:i w:val="0"/>
          <w:color w:val="000000"/>
          <w:sz w:val="24"/>
          <w:lang w:val="fr-FR"/>
        </w:rPr>
      </w:pPr>
      <w:bookmarkStart w:id="18" w:name="ArtL2_RC-2-A3.5"/>
      <w:bookmarkStart w:id="19" w:name="_Toc256000009"/>
      <w:bookmarkEnd w:id="18"/>
      <w:r>
        <w:rPr>
          <w:rFonts w:ascii="Tahoma" w:eastAsia="Tahoma" w:hAnsi="Tahoma" w:cs="Tahoma"/>
          <w:i w:val="0"/>
          <w:color w:val="000000"/>
          <w:sz w:val="24"/>
          <w:lang w:val="fr-FR"/>
        </w:rPr>
        <w:t>2.3 - Variantes</w:t>
      </w:r>
      <w:bookmarkEnd w:id="19"/>
    </w:p>
    <w:p w14:paraId="7CF7520A" w14:textId="77777777" w:rsidR="003A4209" w:rsidRDefault="009B24AF">
      <w:pPr>
        <w:pStyle w:val="ParagrapheIndent2"/>
        <w:spacing w:line="241" w:lineRule="exact"/>
        <w:jc w:val="both"/>
        <w:rPr>
          <w:color w:val="000000"/>
          <w:lang w:val="fr-FR"/>
        </w:rPr>
      </w:pPr>
      <w:r>
        <w:rPr>
          <w:color w:val="000000"/>
          <w:lang w:val="fr-FR"/>
        </w:rPr>
        <w:t xml:space="preserve">Les candidats n'ont pas l'obligation de répondre à la solution de base. Ils peuvent présenter, conformément aux articles R. 2151-8 à R. 2151-11 </w:t>
      </w:r>
      <w:r>
        <w:rPr>
          <w:color w:val="000000"/>
          <w:lang w:val="fr-FR"/>
        </w:rPr>
        <w:t>du Code de la commande publique, une offre comportant 1, 2 ou 3 variantes qui doivent respecter les exigences minimales détaillées suivantes :</w:t>
      </w:r>
    </w:p>
    <w:p w14:paraId="37134544" w14:textId="77777777" w:rsidR="003A4209" w:rsidRDefault="009B24AF">
      <w:pPr>
        <w:pStyle w:val="ParagrapheIndent2"/>
        <w:spacing w:line="241" w:lineRule="exact"/>
        <w:jc w:val="both"/>
        <w:rPr>
          <w:color w:val="000000"/>
          <w:lang w:val="fr-FR"/>
        </w:rPr>
        <w:sectPr w:rsidR="003A4209">
          <w:footerReference w:type="default" r:id="rId7"/>
          <w:pgSz w:w="11900" w:h="16840"/>
          <w:pgMar w:top="280" w:right="1140" w:bottom="1140" w:left="1140" w:header="280" w:footer="1140" w:gutter="0"/>
          <w:cols w:space="708"/>
        </w:sectPr>
      </w:pPr>
      <w:r>
        <w:rPr>
          <w:color w:val="000000"/>
          <w:lang w:val="fr-FR"/>
        </w:rPr>
        <w:t xml:space="preserve">En </w:t>
      </w:r>
      <w:r>
        <w:rPr>
          <w:color w:val="000000"/>
          <w:lang w:val="fr-FR"/>
        </w:rPr>
        <w:t>cas de variante(s) proposée(s), le matériel devra répondre aux spécifications techniques du CCTP et du BPU</w:t>
      </w:r>
      <w:r>
        <w:rPr>
          <w:color w:val="000000"/>
          <w:lang w:val="fr-FR"/>
        </w:rPr>
        <w:cr/>
      </w:r>
    </w:p>
    <w:p w14:paraId="79551073" w14:textId="77777777" w:rsidR="003A4209" w:rsidRDefault="009B24AF">
      <w:pPr>
        <w:pStyle w:val="Titre2"/>
        <w:ind w:left="280"/>
        <w:jc w:val="both"/>
        <w:rPr>
          <w:rFonts w:ascii="Tahoma" w:eastAsia="Tahoma" w:hAnsi="Tahoma" w:cs="Tahoma"/>
          <w:i w:val="0"/>
          <w:color w:val="000000"/>
          <w:sz w:val="24"/>
          <w:lang w:val="fr-FR"/>
        </w:rPr>
      </w:pPr>
      <w:bookmarkStart w:id="20" w:name="ArtL2_RC-2-A3.9"/>
      <w:bookmarkStart w:id="21" w:name="_Toc256000010"/>
      <w:bookmarkEnd w:id="20"/>
      <w:r>
        <w:rPr>
          <w:rFonts w:ascii="Tahoma" w:eastAsia="Tahoma" w:hAnsi="Tahoma" w:cs="Tahoma"/>
          <w:i w:val="0"/>
          <w:color w:val="000000"/>
          <w:sz w:val="24"/>
          <w:lang w:val="fr-FR"/>
        </w:rPr>
        <w:lastRenderedPageBreak/>
        <w:t>2.4 - Développement durable</w:t>
      </w:r>
      <w:bookmarkEnd w:id="21"/>
    </w:p>
    <w:p w14:paraId="4F65084F" w14:textId="77777777" w:rsidR="003A4209" w:rsidRDefault="009B24AF">
      <w:pPr>
        <w:pStyle w:val="ParagrapheIndent2"/>
        <w:spacing w:line="241" w:lineRule="exact"/>
        <w:jc w:val="both"/>
        <w:rPr>
          <w:color w:val="000000"/>
          <w:lang w:val="fr-FR"/>
        </w:rPr>
      </w:pPr>
      <w:r>
        <w:rPr>
          <w:color w:val="000000"/>
          <w:lang w:val="fr-FR"/>
        </w:rPr>
        <w:t>Cette consultation comporte des conditions d'exécution à caractère environnemental dont le détail est indiqué dans le CC</w:t>
      </w:r>
      <w:r>
        <w:rPr>
          <w:color w:val="000000"/>
          <w:lang w:val="fr-FR"/>
        </w:rPr>
        <w:t>AP. Le respect de ces dispositions est une condition de la conformité de l'offre. Une offre comportant des réserves ou ne respectant pas ces conditions d'exécution particulières sera déclarée irrégulière au motif du non-respect du cahier des charges.</w:t>
      </w:r>
    </w:p>
    <w:p w14:paraId="71FC9457" w14:textId="77777777" w:rsidR="003A4209" w:rsidRDefault="003A4209">
      <w:pPr>
        <w:pStyle w:val="ParagrapheIndent2"/>
        <w:spacing w:line="241" w:lineRule="exact"/>
        <w:jc w:val="both"/>
        <w:rPr>
          <w:color w:val="000000"/>
          <w:lang w:val="fr-FR"/>
        </w:rPr>
      </w:pPr>
    </w:p>
    <w:p w14:paraId="01D3BF0D" w14:textId="77777777" w:rsidR="003A4209" w:rsidRDefault="009B24AF">
      <w:pPr>
        <w:pStyle w:val="ParagrapheIndent2"/>
        <w:spacing w:after="240" w:line="241" w:lineRule="exact"/>
        <w:jc w:val="both"/>
        <w:rPr>
          <w:color w:val="000000"/>
          <w:lang w:val="fr-FR"/>
        </w:rPr>
      </w:pPr>
      <w:r>
        <w:rPr>
          <w:color w:val="000000"/>
          <w:lang w:val="fr-FR"/>
        </w:rPr>
        <w:t>Chaq</w:t>
      </w:r>
      <w:r>
        <w:rPr>
          <w:color w:val="000000"/>
          <w:lang w:val="fr-FR"/>
        </w:rPr>
        <w:t>ue titulaire concerné devra mettre en œuvre tous les moyens dont il dispose pour respecter ces objectifs de développement durable dans le cadre de l'exécution des prestations.</w:t>
      </w:r>
    </w:p>
    <w:p w14:paraId="33550980" w14:textId="77777777" w:rsidR="003A4209" w:rsidRDefault="009B24AF">
      <w:pPr>
        <w:pStyle w:val="Titre1"/>
        <w:rPr>
          <w:rFonts w:ascii="Tahoma" w:eastAsia="Tahoma" w:hAnsi="Tahoma" w:cs="Tahoma"/>
          <w:color w:val="000000"/>
          <w:sz w:val="28"/>
          <w:lang w:val="fr-FR"/>
        </w:rPr>
      </w:pPr>
      <w:bookmarkStart w:id="22" w:name="ArtL1_RC-2-A5"/>
      <w:bookmarkStart w:id="23" w:name="_Toc256000011"/>
      <w:bookmarkEnd w:id="22"/>
      <w:r>
        <w:rPr>
          <w:rFonts w:ascii="Tahoma" w:eastAsia="Tahoma" w:hAnsi="Tahoma" w:cs="Tahoma"/>
          <w:color w:val="000000"/>
          <w:sz w:val="28"/>
          <w:lang w:val="fr-FR"/>
        </w:rPr>
        <w:t>3 - Conditions relatives au contrat</w:t>
      </w:r>
      <w:bookmarkEnd w:id="23"/>
    </w:p>
    <w:p w14:paraId="605A3AAF" w14:textId="77777777" w:rsidR="003A4209" w:rsidRDefault="009B24AF">
      <w:pPr>
        <w:pStyle w:val="Titre2"/>
        <w:ind w:left="280"/>
        <w:jc w:val="both"/>
        <w:rPr>
          <w:rFonts w:ascii="Tahoma" w:eastAsia="Tahoma" w:hAnsi="Tahoma" w:cs="Tahoma"/>
          <w:i w:val="0"/>
          <w:color w:val="000000"/>
          <w:sz w:val="24"/>
          <w:lang w:val="fr-FR"/>
        </w:rPr>
      </w:pPr>
      <w:bookmarkStart w:id="24" w:name="ArtL2_RC-2-A5.1"/>
      <w:bookmarkStart w:id="25" w:name="_Toc256000012"/>
      <w:bookmarkEnd w:id="24"/>
      <w:r>
        <w:rPr>
          <w:rFonts w:ascii="Tahoma" w:eastAsia="Tahoma" w:hAnsi="Tahoma" w:cs="Tahoma"/>
          <w:i w:val="0"/>
          <w:color w:val="000000"/>
          <w:sz w:val="24"/>
          <w:lang w:val="fr-FR"/>
        </w:rPr>
        <w:t>3.1 - Durée du contrat ou délai d'exécution</w:t>
      </w:r>
      <w:bookmarkEnd w:id="25"/>
    </w:p>
    <w:p w14:paraId="008A2B7D" w14:textId="77777777" w:rsidR="003A4209" w:rsidRDefault="009B24AF">
      <w:pPr>
        <w:pStyle w:val="ParagrapheIndent2"/>
        <w:spacing w:after="240"/>
        <w:jc w:val="both"/>
        <w:rPr>
          <w:color w:val="000000"/>
          <w:lang w:val="fr-FR"/>
        </w:rPr>
      </w:pPr>
      <w:r>
        <w:rPr>
          <w:color w:val="000000"/>
          <w:lang w:val="fr-FR"/>
        </w:rPr>
        <w:t>La durée du contrat est fixée au CCAP.</w:t>
      </w:r>
    </w:p>
    <w:p w14:paraId="4FB2FAB4" w14:textId="77777777" w:rsidR="003A4209" w:rsidRDefault="009B24AF">
      <w:pPr>
        <w:pStyle w:val="Titre2"/>
        <w:ind w:left="280"/>
        <w:jc w:val="both"/>
        <w:rPr>
          <w:rFonts w:ascii="Tahoma" w:eastAsia="Tahoma" w:hAnsi="Tahoma" w:cs="Tahoma"/>
          <w:i w:val="0"/>
          <w:color w:val="000000"/>
          <w:sz w:val="24"/>
          <w:lang w:val="fr-FR"/>
        </w:rPr>
      </w:pPr>
      <w:bookmarkStart w:id="26" w:name="ArtL2_RC-2-A5.2"/>
      <w:bookmarkStart w:id="27" w:name="_Toc256000013"/>
      <w:bookmarkEnd w:id="26"/>
      <w:r>
        <w:rPr>
          <w:rFonts w:ascii="Tahoma" w:eastAsia="Tahoma" w:hAnsi="Tahoma" w:cs="Tahoma"/>
          <w:i w:val="0"/>
          <w:color w:val="000000"/>
          <w:sz w:val="24"/>
          <w:lang w:val="fr-FR"/>
        </w:rPr>
        <w:t>3.2 - Modalités essentielles de financement et de paiement</w:t>
      </w:r>
      <w:bookmarkEnd w:id="27"/>
    </w:p>
    <w:p w14:paraId="2048B03F" w14:textId="77777777" w:rsidR="003A4209" w:rsidRDefault="009B24AF">
      <w:pPr>
        <w:pStyle w:val="ParagrapheIndent2"/>
        <w:spacing w:after="240"/>
        <w:jc w:val="both"/>
        <w:rPr>
          <w:color w:val="000000"/>
          <w:lang w:val="fr-FR"/>
        </w:rPr>
      </w:pPr>
      <w:r>
        <w:rPr>
          <w:color w:val="000000"/>
          <w:lang w:val="fr-FR"/>
        </w:rPr>
        <w:t>Les prestations seront financées selon les modalités suivantes : Ressources propres de la Ville de la Rochelle</w:t>
      </w:r>
    </w:p>
    <w:p w14:paraId="1F9E3290" w14:textId="77777777" w:rsidR="003A4209" w:rsidRDefault="009B24AF">
      <w:pPr>
        <w:pStyle w:val="ParagrapheIndent2"/>
        <w:spacing w:after="240" w:line="241" w:lineRule="exact"/>
        <w:jc w:val="both"/>
        <w:rPr>
          <w:color w:val="000000"/>
          <w:lang w:val="fr-FR"/>
        </w:rPr>
      </w:pPr>
      <w:r>
        <w:rPr>
          <w:color w:val="000000"/>
          <w:lang w:val="fr-FR"/>
        </w:rPr>
        <w:t>Les sommes dues au(x) titulaire(s) et au(x) sou</w:t>
      </w:r>
      <w:r>
        <w:rPr>
          <w:color w:val="000000"/>
          <w:lang w:val="fr-FR"/>
        </w:rPr>
        <w:t>s-traitant(s) de premier rang éventuel(s) de l'accord-cadre seront payées dans un délai global de 30 jours à compter de la date de réception des factures ou des demandes de paiement équivalentes.</w:t>
      </w:r>
    </w:p>
    <w:p w14:paraId="13067157" w14:textId="77777777" w:rsidR="003A4209" w:rsidRDefault="009B24AF">
      <w:pPr>
        <w:pStyle w:val="ParagrapheIndent2"/>
        <w:spacing w:after="240" w:line="241" w:lineRule="exact"/>
        <w:jc w:val="both"/>
        <w:rPr>
          <w:color w:val="000000"/>
          <w:lang w:val="fr-FR"/>
        </w:rPr>
      </w:pPr>
      <w:r>
        <w:rPr>
          <w:color w:val="000000"/>
          <w:lang w:val="fr-FR"/>
        </w:rPr>
        <w:t xml:space="preserve">L'attention des candidats est attirée sur le fait que s'ils </w:t>
      </w:r>
      <w:r>
        <w:rPr>
          <w:color w:val="000000"/>
          <w:lang w:val="fr-FR"/>
        </w:rPr>
        <w:t>veulent renoncer aux bénéfices de l'avance prévue au CCAP, ils doivent le préciser à l'acte d'engagement.</w:t>
      </w:r>
    </w:p>
    <w:p w14:paraId="7936E4D4" w14:textId="77777777" w:rsidR="003A4209" w:rsidRDefault="009B24AF">
      <w:pPr>
        <w:pStyle w:val="Titre2"/>
        <w:ind w:left="280"/>
        <w:jc w:val="both"/>
        <w:rPr>
          <w:rFonts w:ascii="Tahoma" w:eastAsia="Tahoma" w:hAnsi="Tahoma" w:cs="Tahoma"/>
          <w:i w:val="0"/>
          <w:color w:val="000000"/>
          <w:sz w:val="24"/>
          <w:lang w:val="fr-FR"/>
        </w:rPr>
      </w:pPr>
      <w:bookmarkStart w:id="28" w:name="ArtL2_RC-2-A5.4"/>
      <w:bookmarkStart w:id="29" w:name="_Toc256000014"/>
      <w:bookmarkEnd w:id="28"/>
      <w:r>
        <w:rPr>
          <w:rFonts w:ascii="Tahoma" w:eastAsia="Tahoma" w:hAnsi="Tahoma" w:cs="Tahoma"/>
          <w:i w:val="0"/>
          <w:color w:val="000000"/>
          <w:sz w:val="24"/>
          <w:lang w:val="fr-FR"/>
        </w:rPr>
        <w:t>3.3 - Confidentialité et mesures de sécurité</w:t>
      </w:r>
      <w:bookmarkEnd w:id="29"/>
    </w:p>
    <w:p w14:paraId="49F58B22" w14:textId="77777777" w:rsidR="003A4209" w:rsidRDefault="009B24AF">
      <w:pPr>
        <w:pStyle w:val="ParagrapheIndent2"/>
        <w:spacing w:line="241" w:lineRule="exact"/>
        <w:jc w:val="both"/>
        <w:rPr>
          <w:color w:val="000000"/>
          <w:lang w:val="fr-FR"/>
        </w:rPr>
      </w:pPr>
      <w:r>
        <w:rPr>
          <w:color w:val="000000"/>
          <w:lang w:val="fr-FR"/>
        </w:rPr>
        <w:t>Les candidats doivent respecter l'obligation de confidentialité requise pour l'exécution des prestations.</w:t>
      </w:r>
    </w:p>
    <w:p w14:paraId="6BE76367" w14:textId="77777777" w:rsidR="003A4209" w:rsidRDefault="003A4209">
      <w:pPr>
        <w:pStyle w:val="ParagrapheIndent2"/>
        <w:spacing w:line="241" w:lineRule="exact"/>
        <w:jc w:val="both"/>
        <w:rPr>
          <w:color w:val="000000"/>
          <w:lang w:val="fr-FR"/>
        </w:rPr>
      </w:pPr>
    </w:p>
    <w:p w14:paraId="26DD4E45" w14:textId="77777777" w:rsidR="003A4209" w:rsidRDefault="009B24AF">
      <w:pPr>
        <w:pStyle w:val="ParagrapheIndent2"/>
        <w:spacing w:after="240" w:line="241"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cette obligation de confidentialité.</w:t>
      </w:r>
    </w:p>
    <w:p w14:paraId="13107D9E" w14:textId="77777777" w:rsidR="003A4209" w:rsidRDefault="009B24AF">
      <w:pPr>
        <w:pStyle w:val="Titre1"/>
        <w:rPr>
          <w:rFonts w:ascii="Tahoma" w:eastAsia="Tahoma" w:hAnsi="Tahoma" w:cs="Tahoma"/>
          <w:color w:val="000000"/>
          <w:sz w:val="28"/>
          <w:lang w:val="fr-FR"/>
        </w:rPr>
      </w:pPr>
      <w:bookmarkStart w:id="30" w:name="ArtL1_RC-2-A6"/>
      <w:bookmarkStart w:id="31" w:name="_Toc256000015"/>
      <w:bookmarkEnd w:id="30"/>
      <w:r>
        <w:rPr>
          <w:rFonts w:ascii="Tahoma" w:eastAsia="Tahoma" w:hAnsi="Tahoma" w:cs="Tahoma"/>
          <w:color w:val="000000"/>
          <w:sz w:val="28"/>
          <w:lang w:val="fr-FR"/>
        </w:rPr>
        <w:t xml:space="preserve">4 - </w:t>
      </w:r>
      <w:r>
        <w:rPr>
          <w:rFonts w:ascii="Tahoma" w:eastAsia="Tahoma" w:hAnsi="Tahoma" w:cs="Tahoma"/>
          <w:color w:val="000000"/>
          <w:sz w:val="28"/>
          <w:lang w:val="fr-FR"/>
        </w:rPr>
        <w:t>Contenu du dossier de consultation</w:t>
      </w:r>
      <w:bookmarkEnd w:id="31"/>
    </w:p>
    <w:p w14:paraId="7AAFD3FC" w14:textId="77777777" w:rsidR="003A4209" w:rsidRDefault="009B24AF">
      <w:pPr>
        <w:pStyle w:val="ParagrapheIndent1"/>
        <w:spacing w:line="241" w:lineRule="exact"/>
        <w:jc w:val="both"/>
        <w:rPr>
          <w:color w:val="000000"/>
          <w:lang w:val="fr-FR"/>
        </w:rPr>
      </w:pPr>
      <w:r>
        <w:rPr>
          <w:color w:val="000000"/>
          <w:lang w:val="fr-FR"/>
        </w:rPr>
        <w:t>Le dossier de consultation des entreprises (DCE) contient les pièces suivantes :</w:t>
      </w:r>
    </w:p>
    <w:p w14:paraId="46647696" w14:textId="77777777" w:rsidR="003A4209" w:rsidRDefault="009B24AF">
      <w:pPr>
        <w:pStyle w:val="ParagrapheIndent1"/>
        <w:spacing w:line="241" w:lineRule="exact"/>
        <w:jc w:val="both"/>
        <w:rPr>
          <w:color w:val="000000"/>
          <w:lang w:val="fr-FR"/>
        </w:rPr>
      </w:pPr>
      <w:r>
        <w:rPr>
          <w:color w:val="000000"/>
          <w:lang w:val="fr-FR"/>
        </w:rPr>
        <w:t>- Le règlement de la consultation (RC)</w:t>
      </w:r>
    </w:p>
    <w:p w14:paraId="17264511" w14:textId="77777777" w:rsidR="003A4209" w:rsidRDefault="009B24AF">
      <w:pPr>
        <w:pStyle w:val="ParagrapheIndent1"/>
        <w:spacing w:line="241" w:lineRule="exact"/>
        <w:jc w:val="both"/>
        <w:rPr>
          <w:color w:val="000000"/>
          <w:lang w:val="fr-FR"/>
        </w:rPr>
      </w:pPr>
      <w:r>
        <w:rPr>
          <w:color w:val="000000"/>
          <w:lang w:val="fr-FR"/>
        </w:rPr>
        <w:t>- Formulaire DC1</w:t>
      </w:r>
    </w:p>
    <w:p w14:paraId="32345838" w14:textId="77777777" w:rsidR="003A4209" w:rsidRDefault="009B24AF">
      <w:pPr>
        <w:pStyle w:val="ParagrapheIndent1"/>
        <w:spacing w:line="241" w:lineRule="exact"/>
        <w:jc w:val="both"/>
        <w:rPr>
          <w:color w:val="000000"/>
          <w:lang w:val="fr-FR"/>
        </w:rPr>
      </w:pPr>
      <w:r>
        <w:rPr>
          <w:color w:val="000000"/>
          <w:lang w:val="fr-FR"/>
        </w:rPr>
        <w:t>- Formulaire DC2</w:t>
      </w:r>
    </w:p>
    <w:p w14:paraId="1D293B48" w14:textId="77777777" w:rsidR="003A4209" w:rsidRDefault="009B24AF">
      <w:pPr>
        <w:pStyle w:val="ParagrapheIndent1"/>
        <w:spacing w:line="241" w:lineRule="exact"/>
        <w:jc w:val="both"/>
        <w:rPr>
          <w:color w:val="000000"/>
          <w:lang w:val="fr-FR"/>
        </w:rPr>
      </w:pPr>
      <w:r>
        <w:rPr>
          <w:color w:val="000000"/>
          <w:lang w:val="fr-FR"/>
        </w:rPr>
        <w:t>- Le formulaire DC4 en cas de sous-traitance</w:t>
      </w:r>
    </w:p>
    <w:p w14:paraId="51D3F1F3" w14:textId="77777777" w:rsidR="003A4209" w:rsidRDefault="009B24AF">
      <w:pPr>
        <w:pStyle w:val="ParagrapheIndent1"/>
        <w:spacing w:line="241" w:lineRule="exact"/>
        <w:jc w:val="both"/>
        <w:rPr>
          <w:color w:val="000000"/>
          <w:lang w:val="fr-FR"/>
        </w:rPr>
      </w:pPr>
      <w:r>
        <w:rPr>
          <w:color w:val="000000"/>
          <w:lang w:val="fr-FR"/>
        </w:rPr>
        <w:t xml:space="preserve">- L'acte </w:t>
      </w:r>
      <w:r>
        <w:rPr>
          <w:color w:val="000000"/>
          <w:lang w:val="fr-FR"/>
        </w:rPr>
        <w:t>d'engagement (AE) et ses annexes</w:t>
      </w:r>
    </w:p>
    <w:p w14:paraId="4AF5EB57" w14:textId="77777777" w:rsidR="003A4209" w:rsidRDefault="009B24AF">
      <w:pPr>
        <w:pStyle w:val="ParagrapheIndent1"/>
        <w:spacing w:line="241" w:lineRule="exact"/>
        <w:jc w:val="both"/>
        <w:rPr>
          <w:color w:val="000000"/>
          <w:lang w:val="fr-FR"/>
        </w:rPr>
      </w:pPr>
      <w:r>
        <w:rPr>
          <w:color w:val="000000"/>
          <w:lang w:val="fr-FR"/>
        </w:rPr>
        <w:t>- Le cahier des clauses administratives particulières (CCAP)</w:t>
      </w:r>
    </w:p>
    <w:p w14:paraId="5752504E" w14:textId="77777777" w:rsidR="003A4209" w:rsidRDefault="009B24AF">
      <w:pPr>
        <w:pStyle w:val="ParagrapheIndent1"/>
        <w:spacing w:line="241" w:lineRule="exact"/>
        <w:jc w:val="both"/>
        <w:rPr>
          <w:color w:val="000000"/>
          <w:lang w:val="fr-FR"/>
        </w:rPr>
      </w:pPr>
      <w:r>
        <w:rPr>
          <w:color w:val="000000"/>
          <w:lang w:val="fr-FR"/>
        </w:rPr>
        <w:t>- Le cahier des clauses techniques particulières (CCTP) et ses annexes</w:t>
      </w:r>
    </w:p>
    <w:p w14:paraId="0BDFA92A" w14:textId="77777777" w:rsidR="003A4209" w:rsidRDefault="009B24AF">
      <w:pPr>
        <w:pStyle w:val="ParagrapheIndent1"/>
        <w:spacing w:line="241" w:lineRule="exact"/>
        <w:jc w:val="both"/>
        <w:rPr>
          <w:color w:val="000000"/>
          <w:lang w:val="fr-FR"/>
        </w:rPr>
      </w:pPr>
      <w:r>
        <w:rPr>
          <w:color w:val="000000"/>
          <w:lang w:val="fr-FR"/>
        </w:rPr>
        <w:t>- Le bordereau des prix unitaires (BPU) pour l'offre de base et les 3 variantes</w:t>
      </w:r>
    </w:p>
    <w:p w14:paraId="1E696828" w14:textId="77777777" w:rsidR="003A4209" w:rsidRDefault="009B24AF">
      <w:pPr>
        <w:pStyle w:val="ParagrapheIndent1"/>
        <w:spacing w:line="241" w:lineRule="exact"/>
        <w:jc w:val="both"/>
        <w:rPr>
          <w:color w:val="000000"/>
          <w:lang w:val="fr-FR"/>
        </w:rPr>
      </w:pPr>
      <w:r>
        <w:rPr>
          <w:color w:val="000000"/>
          <w:lang w:val="fr-FR"/>
        </w:rPr>
        <w:t>- Le détail</w:t>
      </w:r>
      <w:r>
        <w:rPr>
          <w:color w:val="000000"/>
          <w:lang w:val="fr-FR"/>
        </w:rPr>
        <w:t> quantitatif estimatif (DQE) pour l'offre de base et les 3 variantes</w:t>
      </w:r>
    </w:p>
    <w:p w14:paraId="4CCD8D57" w14:textId="77777777" w:rsidR="003A4209" w:rsidRDefault="009B24AF">
      <w:pPr>
        <w:pStyle w:val="ParagrapheIndent1"/>
        <w:spacing w:line="241" w:lineRule="exact"/>
        <w:jc w:val="both"/>
        <w:rPr>
          <w:color w:val="000000"/>
          <w:lang w:val="fr-FR"/>
        </w:rPr>
      </w:pPr>
      <w:r>
        <w:rPr>
          <w:color w:val="000000"/>
          <w:lang w:val="fr-FR"/>
        </w:rPr>
        <w:t>- Le cadre de réponse technique</w:t>
      </w:r>
    </w:p>
    <w:p w14:paraId="04B40F09" w14:textId="77777777" w:rsidR="003A4209" w:rsidRDefault="009B24AF">
      <w:pPr>
        <w:pStyle w:val="ParagrapheIndent1"/>
        <w:spacing w:after="240" w:line="241" w:lineRule="exact"/>
        <w:jc w:val="both"/>
        <w:rPr>
          <w:color w:val="000000"/>
          <w:lang w:val="fr-FR"/>
        </w:rPr>
      </w:pPr>
      <w:r>
        <w:rPr>
          <w:color w:val="000000"/>
          <w:lang w:val="fr-FR"/>
        </w:rPr>
        <w:t>- Le cadre de réponse environnemental</w:t>
      </w:r>
    </w:p>
    <w:p w14:paraId="0AB18A3D" w14:textId="77777777" w:rsidR="003A4209" w:rsidRDefault="009B24AF">
      <w:pPr>
        <w:pStyle w:val="ParagrapheIndent1"/>
        <w:spacing w:after="240"/>
        <w:jc w:val="both"/>
        <w:rPr>
          <w:color w:val="000000"/>
          <w:lang w:val="fr-FR"/>
        </w:rPr>
      </w:pPr>
      <w:r>
        <w:rPr>
          <w:color w:val="000000"/>
          <w:lang w:val="fr-FR"/>
        </w:rPr>
        <w:t>Il est remis gratuitement à chaque candidat.</w:t>
      </w:r>
    </w:p>
    <w:p w14:paraId="581101F4" w14:textId="77777777" w:rsidR="003A4209" w:rsidRDefault="009B24AF">
      <w:pPr>
        <w:pStyle w:val="ParagrapheIndent1"/>
        <w:spacing w:after="240"/>
        <w:jc w:val="both"/>
        <w:rPr>
          <w:color w:val="000000"/>
          <w:lang w:val="fr-FR"/>
        </w:rPr>
      </w:pPr>
      <w:r>
        <w:rPr>
          <w:color w:val="000000"/>
          <w:lang w:val="fr-FR"/>
        </w:rPr>
        <w:t>Aucune demande d'envoi du DCE sur support physique électronique n'est au</w:t>
      </w:r>
      <w:r>
        <w:rPr>
          <w:color w:val="000000"/>
          <w:lang w:val="fr-FR"/>
        </w:rPr>
        <w:t>torisée.</w:t>
      </w:r>
    </w:p>
    <w:p w14:paraId="1F84C589" w14:textId="77777777" w:rsidR="003A4209" w:rsidRDefault="009B24AF">
      <w:pPr>
        <w:pStyle w:val="ParagrapheIndent1"/>
        <w:spacing w:line="241" w:lineRule="exact"/>
        <w:jc w:val="both"/>
        <w:rPr>
          <w:color w:val="000000"/>
          <w:lang w:val="fr-FR"/>
        </w:rPr>
      </w:pPr>
      <w:r>
        <w:rPr>
          <w:color w:val="000000"/>
          <w:lang w:val="fr-FR"/>
        </w:rPr>
        <w:t>Le pouvoir adjudicateur se réserve le droit d'apporter des modifications de détail au dossier de consultation au plus tard 6 jours avant la date limite de réception des offres. Ce délai est décompté à partir de la date d'envoi par le pouvoir adjud</w:t>
      </w:r>
      <w:r>
        <w:rPr>
          <w:color w:val="000000"/>
          <w:lang w:val="fr-FR"/>
        </w:rPr>
        <w:t>icateur des modifications aux candidats ayant retiré le dossier initial. Les candidats devront alors répondre sur la base du dossier modifié sans pouvoir n'élever aucune réclamation à ce sujet.</w:t>
      </w:r>
    </w:p>
    <w:p w14:paraId="1048633D" w14:textId="77777777" w:rsidR="003A4209" w:rsidRDefault="003A4209">
      <w:pPr>
        <w:pStyle w:val="ParagrapheIndent1"/>
        <w:spacing w:line="241" w:lineRule="exact"/>
        <w:jc w:val="both"/>
        <w:rPr>
          <w:color w:val="000000"/>
          <w:lang w:val="fr-FR"/>
        </w:rPr>
      </w:pPr>
    </w:p>
    <w:p w14:paraId="24F93A4B" w14:textId="238A6672" w:rsidR="009B24AF" w:rsidRDefault="009B24AF">
      <w:pPr>
        <w:pStyle w:val="ParagrapheIndent1"/>
        <w:spacing w:after="240" w:line="241"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49F05219" w14:textId="77777777" w:rsidR="003A4209" w:rsidRDefault="009B24AF">
      <w:pPr>
        <w:pStyle w:val="ParagrapheIndent1"/>
        <w:spacing w:after="240" w:line="241" w:lineRule="exact"/>
        <w:jc w:val="both"/>
        <w:rPr>
          <w:color w:val="000000"/>
          <w:lang w:val="fr-FR"/>
        </w:rPr>
      </w:pPr>
      <w:r>
        <w:rPr>
          <w:color w:val="000000"/>
          <w:lang w:val="fr-FR"/>
        </w:rPr>
        <w:br w:type="page"/>
      </w:r>
    </w:p>
    <w:p w14:paraId="083E13BC" w14:textId="77777777" w:rsidR="003A4209" w:rsidRDefault="009B24AF">
      <w:pPr>
        <w:pStyle w:val="Titre1"/>
        <w:rPr>
          <w:rFonts w:ascii="Tahoma" w:eastAsia="Tahoma" w:hAnsi="Tahoma" w:cs="Tahoma"/>
          <w:color w:val="000000"/>
          <w:sz w:val="28"/>
          <w:lang w:val="fr-FR"/>
        </w:rPr>
      </w:pPr>
      <w:bookmarkStart w:id="32" w:name="ArtL1_RC-2-A7"/>
      <w:bookmarkStart w:id="33" w:name="_Toc256000016"/>
      <w:bookmarkEnd w:id="32"/>
      <w:r>
        <w:rPr>
          <w:rFonts w:ascii="Tahoma" w:eastAsia="Tahoma" w:hAnsi="Tahoma" w:cs="Tahoma"/>
          <w:color w:val="000000"/>
          <w:sz w:val="28"/>
          <w:lang w:val="fr-FR"/>
        </w:rPr>
        <w:t xml:space="preserve">5 - Présentation des </w:t>
      </w:r>
      <w:r>
        <w:rPr>
          <w:rFonts w:ascii="Tahoma" w:eastAsia="Tahoma" w:hAnsi="Tahoma" w:cs="Tahoma"/>
          <w:color w:val="000000"/>
          <w:sz w:val="28"/>
          <w:lang w:val="fr-FR"/>
        </w:rPr>
        <w:t>candidatures et des offres</w:t>
      </w:r>
      <w:bookmarkEnd w:id="33"/>
    </w:p>
    <w:p w14:paraId="5087C785" w14:textId="77777777" w:rsidR="003A4209" w:rsidRDefault="009B24AF">
      <w:pPr>
        <w:pStyle w:val="ParagrapheIndent1"/>
        <w:spacing w:after="240" w:line="241"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w:t>
      </w:r>
      <w:r>
        <w:rPr>
          <w:color w:val="000000"/>
          <w:lang w:val="fr-FR"/>
        </w:rPr>
        <w:t>on et qui demeurent valables.</w:t>
      </w:r>
    </w:p>
    <w:p w14:paraId="03FE2A50" w14:textId="77777777" w:rsidR="003A4209" w:rsidRDefault="009B24AF">
      <w:pPr>
        <w:pStyle w:val="ParagrapheIndent1"/>
        <w:spacing w:line="241" w:lineRule="exact"/>
        <w:jc w:val="both"/>
        <w:rPr>
          <w:color w:val="000000"/>
          <w:lang w:val="fr-FR"/>
        </w:rPr>
      </w:pPr>
      <w:r>
        <w:rPr>
          <w:color w:val="000000"/>
          <w:lang w:val="fr-FR"/>
        </w:rPr>
        <w:t>Les offres des candidats seront entièrement rédigées en langue française et exprimées en EURO.</w:t>
      </w:r>
    </w:p>
    <w:p w14:paraId="48A9EF3E" w14:textId="77777777" w:rsidR="003A4209" w:rsidRDefault="009B24AF">
      <w:pPr>
        <w:pStyle w:val="ParagrapheIndent1"/>
        <w:spacing w:line="241" w:lineRule="exact"/>
        <w:jc w:val="both"/>
        <w:rPr>
          <w:color w:val="000000"/>
          <w:lang w:val="fr-FR"/>
        </w:rPr>
      </w:pPr>
      <w:r>
        <w:rPr>
          <w:color w:val="000000"/>
          <w:lang w:val="fr-FR"/>
        </w:rPr>
        <w:t>Si les offres des candidats sont rédigées dans une autre langue, elles doivent être accompagnées d'une traduction en français, cett</w:t>
      </w:r>
      <w:r>
        <w:rPr>
          <w:color w:val="000000"/>
          <w:lang w:val="fr-FR"/>
        </w:rPr>
        <w:t>e traduction doit concerner l'ensemble des documents remis dans l'offre.</w:t>
      </w:r>
    </w:p>
    <w:p w14:paraId="3A4BEF7F" w14:textId="77777777" w:rsidR="003A4209" w:rsidRDefault="009B24AF">
      <w:pPr>
        <w:pStyle w:val="ParagrapheIndent1"/>
        <w:spacing w:line="241" w:lineRule="exact"/>
        <w:jc w:val="both"/>
        <w:rPr>
          <w:color w:val="000000"/>
          <w:lang w:val="fr-FR"/>
        </w:rPr>
      </w:pPr>
      <w:r>
        <w:rPr>
          <w:color w:val="000000"/>
          <w:lang w:val="fr-FR"/>
        </w:rPr>
        <w:t> </w:t>
      </w:r>
    </w:p>
    <w:p w14:paraId="0E2FAA0A" w14:textId="77777777" w:rsidR="003A4209" w:rsidRDefault="009B24AF">
      <w:pPr>
        <w:pStyle w:val="ParagrapheIndent1"/>
        <w:spacing w:after="240" w:line="241" w:lineRule="exact"/>
        <w:jc w:val="both"/>
        <w:rPr>
          <w:color w:val="000000"/>
          <w:lang w:val="fr-FR"/>
        </w:rPr>
      </w:pPr>
      <w:r>
        <w:rPr>
          <w:color w:val="000000"/>
          <w:lang w:val="fr-FR"/>
        </w:rPr>
        <w:t>La signature électronique de l'acte d'engagement n'est pas exigée mais elle est possible pour les candidats qui en sont dotés. </w:t>
      </w:r>
    </w:p>
    <w:p w14:paraId="559AFF5F" w14:textId="77777777" w:rsidR="003A4209" w:rsidRDefault="009B24AF">
      <w:pPr>
        <w:pStyle w:val="Titre2"/>
        <w:ind w:left="280"/>
        <w:jc w:val="both"/>
        <w:rPr>
          <w:rFonts w:ascii="Tahoma" w:eastAsia="Tahoma" w:hAnsi="Tahoma" w:cs="Tahoma"/>
          <w:i w:val="0"/>
          <w:color w:val="000000"/>
          <w:sz w:val="24"/>
          <w:lang w:val="fr-FR"/>
        </w:rPr>
      </w:pPr>
      <w:bookmarkStart w:id="34" w:name="ArtL2_RC-2-A7.5"/>
      <w:bookmarkStart w:id="35" w:name="_Toc256000017"/>
      <w:bookmarkEnd w:id="34"/>
      <w:r>
        <w:rPr>
          <w:rFonts w:ascii="Tahoma" w:eastAsia="Tahoma" w:hAnsi="Tahoma" w:cs="Tahoma"/>
          <w:i w:val="0"/>
          <w:color w:val="000000"/>
          <w:sz w:val="24"/>
          <w:lang w:val="fr-FR"/>
        </w:rPr>
        <w:t>5.1 - Documents à produire</w:t>
      </w:r>
      <w:bookmarkEnd w:id="35"/>
    </w:p>
    <w:p w14:paraId="3643D321" w14:textId="77777777" w:rsidR="003A4209" w:rsidRDefault="009B24AF">
      <w:pPr>
        <w:pStyle w:val="ParagrapheIndent2"/>
        <w:spacing w:line="241" w:lineRule="exact"/>
        <w:jc w:val="both"/>
        <w:rPr>
          <w:color w:val="000000"/>
          <w:lang w:val="fr-FR"/>
        </w:rPr>
      </w:pPr>
      <w:r>
        <w:rPr>
          <w:color w:val="000000"/>
          <w:lang w:val="fr-FR"/>
        </w:rPr>
        <w:t>Chaque candidat aura à pro</w:t>
      </w:r>
      <w:r>
        <w:rPr>
          <w:color w:val="000000"/>
          <w:lang w:val="fr-FR"/>
        </w:rPr>
        <w:t>duire un dossier complet comprenant les pièces suivantes :</w:t>
      </w:r>
    </w:p>
    <w:p w14:paraId="630756E1" w14:textId="77777777" w:rsidR="003A4209" w:rsidRDefault="003A4209">
      <w:pPr>
        <w:pStyle w:val="ParagrapheIndent2"/>
        <w:spacing w:line="241" w:lineRule="exact"/>
        <w:jc w:val="both"/>
        <w:rPr>
          <w:color w:val="000000"/>
          <w:lang w:val="fr-FR"/>
        </w:rPr>
      </w:pPr>
    </w:p>
    <w:p w14:paraId="2B9CD0ED" w14:textId="77777777" w:rsidR="003A4209" w:rsidRDefault="009B24AF">
      <w:pPr>
        <w:pStyle w:val="ParagrapheIndent2"/>
        <w:spacing w:line="241" w:lineRule="exact"/>
        <w:jc w:val="both"/>
        <w:rPr>
          <w:color w:val="000000"/>
          <w:lang w:val="fr-FR"/>
        </w:rPr>
      </w:pPr>
      <w:r>
        <w:rPr>
          <w:color w:val="000000"/>
          <w:lang w:val="fr-FR"/>
        </w:rPr>
        <w:t>Pièces de la candidature telles que prévues aux articles L. 2142-1, R. 2142-3, R. 2142-4, R. 2143-3 et R. 2143-4 du Code de la commande publique :</w:t>
      </w:r>
    </w:p>
    <w:p w14:paraId="3A07F01C" w14:textId="77777777" w:rsidR="003A4209" w:rsidRDefault="003A4209">
      <w:pPr>
        <w:pStyle w:val="ParagrapheIndent2"/>
        <w:spacing w:line="241" w:lineRule="exact"/>
        <w:jc w:val="both"/>
        <w:rPr>
          <w:color w:val="000000"/>
          <w:lang w:val="fr-FR"/>
        </w:rPr>
      </w:pPr>
    </w:p>
    <w:p w14:paraId="5D933E1B" w14:textId="77777777" w:rsidR="003A4209" w:rsidRDefault="009B24AF">
      <w:pPr>
        <w:pStyle w:val="ParagrapheIndent2"/>
        <w:spacing w:line="241" w:lineRule="exact"/>
        <w:jc w:val="both"/>
        <w:rPr>
          <w:color w:val="000000"/>
          <w:lang w:val="fr-FR"/>
        </w:rPr>
      </w:pPr>
      <w:r>
        <w:rPr>
          <w:color w:val="000000"/>
          <w:lang w:val="fr-FR"/>
        </w:rPr>
        <w:t>Renseignements concernant la situation juridique</w:t>
      </w:r>
      <w:r>
        <w:rPr>
          <w:color w:val="000000"/>
          <w:lang w:val="fr-FR"/>
        </w:rPr>
        <w:t xml:space="preserve"> de l'entreprise :</w:t>
      </w:r>
    </w:p>
    <w:tbl>
      <w:tblPr>
        <w:tblW w:w="0" w:type="auto"/>
        <w:tblLayout w:type="fixed"/>
        <w:tblLook w:val="04A0" w:firstRow="1" w:lastRow="0" w:firstColumn="1" w:lastColumn="0" w:noHBand="0" w:noVBand="1"/>
      </w:tblPr>
      <w:tblGrid>
        <w:gridCol w:w="8400"/>
        <w:gridCol w:w="1200"/>
      </w:tblGrid>
      <w:tr w:rsidR="003A4209" w14:paraId="27C1856A"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4C28D23" w14:textId="77777777" w:rsidR="003A4209" w:rsidRDefault="009B24AF">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6AD772A" w14:textId="77777777" w:rsidR="003A4209" w:rsidRDefault="009B24AF">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Signature</w:t>
            </w:r>
          </w:p>
        </w:tc>
      </w:tr>
      <w:tr w:rsidR="003A4209" w14:paraId="7B16A910"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27F059" w14:textId="77777777" w:rsidR="003A4209" w:rsidRDefault="009B24AF">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Formulaire DC1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3C730F" w14:textId="77777777" w:rsidR="003A4209" w:rsidRDefault="009B24AF">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bl>
    <w:p w14:paraId="2F60C7DF" w14:textId="77777777" w:rsidR="003A4209" w:rsidRDefault="009B24AF">
      <w:pPr>
        <w:spacing w:after="400" w:line="240" w:lineRule="exact"/>
      </w:pPr>
      <w:r>
        <w:t xml:space="preserve"> </w:t>
      </w:r>
    </w:p>
    <w:p w14:paraId="2EE06FA2" w14:textId="77777777" w:rsidR="003A4209" w:rsidRDefault="009B24AF">
      <w:pPr>
        <w:pStyle w:val="ParagrapheIndent2"/>
        <w:jc w:val="both"/>
        <w:rPr>
          <w:color w:val="000000"/>
          <w:lang w:val="fr-FR"/>
        </w:rPr>
      </w:pPr>
      <w:r>
        <w:rPr>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3A4209" w14:paraId="6F71A3BE"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3276779" w14:textId="77777777" w:rsidR="003A4209" w:rsidRDefault="009B24AF">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9B9940D" w14:textId="77777777" w:rsidR="003A4209" w:rsidRDefault="009B24AF">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Signature</w:t>
            </w:r>
          </w:p>
        </w:tc>
      </w:tr>
      <w:tr w:rsidR="003A4209" w14:paraId="6F5B8222" w14:textId="77777777">
        <w:trPr>
          <w:trHeight w:val="34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A394E0" w14:textId="77777777" w:rsidR="003A4209" w:rsidRDefault="009B24AF">
            <w:pPr>
              <w:spacing w:before="60" w:after="40"/>
              <w:ind w:left="40" w:right="40"/>
              <w:rPr>
                <w:rFonts w:ascii="Tahoma" w:eastAsia="Tahoma" w:hAnsi="Tahoma" w:cs="Tahoma"/>
                <w:color w:val="000000"/>
                <w:sz w:val="20"/>
                <w:lang w:val="fr-FR"/>
              </w:rPr>
            </w:pPr>
            <w:r>
              <w:rPr>
                <w:rFonts w:ascii="Tahoma" w:eastAsia="Tahoma" w:hAnsi="Tahoma" w:cs="Tahoma"/>
                <w:color w:val="000000"/>
                <w:sz w:val="20"/>
                <w:lang w:val="fr-FR"/>
              </w:rPr>
              <w:t>Formulaire DC2</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934219" w14:textId="77777777" w:rsidR="003A4209" w:rsidRDefault="009B24AF">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3A4209" w14:paraId="53830C88"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9C5661" w14:textId="77777777" w:rsidR="003A4209" w:rsidRDefault="009B24AF">
            <w:pPr>
              <w:spacing w:before="20" w:after="20" w:line="241" w:lineRule="exact"/>
              <w:ind w:left="40" w:right="40"/>
              <w:rPr>
                <w:rFonts w:ascii="Tahoma" w:eastAsia="Tahoma" w:hAnsi="Tahoma" w:cs="Tahoma"/>
                <w:color w:val="000000"/>
                <w:sz w:val="20"/>
                <w:lang w:val="fr-FR"/>
              </w:rPr>
            </w:pPr>
            <w:r>
              <w:rPr>
                <w:rFonts w:ascii="Tahoma" w:eastAsia="Tahoma" w:hAnsi="Tahoma" w:cs="Tahoma"/>
                <w:color w:val="000000"/>
                <w:sz w:val="20"/>
                <w:lang w:val="fr-FR"/>
              </w:rPr>
              <w:t xml:space="preserve">Déclaration appropriée de banques ou preuve d'une assurance pour les </w:t>
            </w:r>
            <w:r>
              <w:rPr>
                <w:rFonts w:ascii="Tahoma" w:eastAsia="Tahoma" w:hAnsi="Tahoma" w:cs="Tahoma"/>
                <w:color w:val="000000"/>
                <w:sz w:val="20"/>
                <w:lang w:val="fr-FR"/>
              </w:rPr>
              <w:t>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AA7CD1" w14:textId="77777777" w:rsidR="003A4209" w:rsidRDefault="009B24AF">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Non</w:t>
            </w:r>
          </w:p>
        </w:tc>
      </w:tr>
    </w:tbl>
    <w:p w14:paraId="6584967E" w14:textId="77777777" w:rsidR="003A4209" w:rsidRDefault="009B24AF">
      <w:pPr>
        <w:spacing w:after="400" w:line="240" w:lineRule="exact"/>
      </w:pPr>
      <w:r>
        <w:t xml:space="preserve"> </w:t>
      </w:r>
    </w:p>
    <w:p w14:paraId="2A8E5EDA" w14:textId="77777777" w:rsidR="003A4209" w:rsidRDefault="009B24AF">
      <w:pPr>
        <w:pStyle w:val="ParagrapheIndent2"/>
        <w:jc w:val="both"/>
        <w:rPr>
          <w:color w:val="000000"/>
          <w:lang w:val="fr-FR"/>
        </w:rPr>
      </w:pPr>
      <w:r>
        <w:rPr>
          <w:color w:val="000000"/>
          <w:lang w:val="fr-FR"/>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000"/>
        <w:gridCol w:w="1600"/>
      </w:tblGrid>
      <w:tr w:rsidR="003A4209" w14:paraId="0785B872"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2D9AD6F" w14:textId="77777777" w:rsidR="003A4209" w:rsidRDefault="009B24AF">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3DF45CD" w14:textId="77777777" w:rsidR="003A4209" w:rsidRDefault="009B24AF">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Signature</w:t>
            </w:r>
          </w:p>
        </w:tc>
      </w:tr>
      <w:tr w:rsidR="003A4209" w14:paraId="60604557" w14:textId="77777777">
        <w:trPr>
          <w:trHeight w:val="724"/>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01A144" w14:textId="77777777" w:rsidR="003A4209" w:rsidRDefault="009B24AF">
            <w:pPr>
              <w:spacing w:before="20" w:after="20" w:line="241" w:lineRule="exact"/>
              <w:ind w:left="40" w:right="40"/>
              <w:rPr>
                <w:rFonts w:ascii="Tahoma" w:eastAsia="Tahoma" w:hAnsi="Tahoma" w:cs="Tahoma"/>
                <w:color w:val="000000"/>
                <w:sz w:val="20"/>
                <w:lang w:val="fr-FR"/>
              </w:rPr>
            </w:pPr>
            <w:r>
              <w:rPr>
                <w:rFonts w:ascii="Tahoma" w:eastAsia="Tahoma" w:hAnsi="Tahoma" w:cs="Tahoma"/>
                <w:color w:val="000000"/>
                <w:sz w:val="20"/>
                <w:lang w:val="fr-FR"/>
              </w:rPr>
              <w:t xml:space="preserve">Liste des principales prestations effectuées au cours des trois dernières années, indiquant le </w:t>
            </w:r>
            <w:r>
              <w:rPr>
                <w:rFonts w:ascii="Tahoma" w:eastAsia="Tahoma" w:hAnsi="Tahoma" w:cs="Tahoma"/>
                <w:color w:val="000000"/>
                <w:sz w:val="20"/>
                <w:lang w:val="fr-FR"/>
              </w:rPr>
              <w:t>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947BDA" w14:textId="77777777" w:rsidR="003A4209" w:rsidRDefault="009B24AF">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Non</w:t>
            </w:r>
          </w:p>
        </w:tc>
      </w:tr>
    </w:tbl>
    <w:p w14:paraId="68511111" w14:textId="77777777" w:rsidR="003A4209" w:rsidRDefault="009B24AF">
      <w:pPr>
        <w:spacing w:after="400" w:line="240" w:lineRule="exact"/>
      </w:pPr>
      <w:r>
        <w:t xml:space="preserve"> </w:t>
      </w:r>
    </w:p>
    <w:p w14:paraId="090899B0" w14:textId="77777777" w:rsidR="003A4209" w:rsidRDefault="009B24AF">
      <w:pPr>
        <w:pStyle w:val="ParagrapheIndent2"/>
        <w:spacing w:after="240" w:line="241" w:lineRule="exact"/>
        <w:jc w:val="both"/>
        <w:rPr>
          <w:color w:val="000000"/>
          <w:lang w:val="fr-FR"/>
        </w:rPr>
      </w:pPr>
      <w:r>
        <w:rPr>
          <w:color w:val="000000"/>
          <w:lang w:val="fr-FR"/>
        </w:rPr>
        <w:t xml:space="preserve">Pour présenter leur candidature, les candidats utilisent soit les formulaires DC1 (lettre de candidature) et </w:t>
      </w:r>
      <w:r>
        <w:rPr>
          <w:color w:val="000000"/>
          <w:lang w:val="fr-FR"/>
        </w:rPr>
        <w:t>DC2 (déclaration du candidat) disponibles gratuitement sur le site www.economie.gouv.fr, soit le Document Unique de Marché Européen (DUME).</w:t>
      </w:r>
    </w:p>
    <w:p w14:paraId="29FCA69E" w14:textId="77777777" w:rsidR="003A4209" w:rsidRDefault="009B24AF">
      <w:pPr>
        <w:pStyle w:val="ParagrapheIndent2"/>
        <w:spacing w:line="241" w:lineRule="exact"/>
        <w:jc w:val="both"/>
        <w:rPr>
          <w:color w:val="000000"/>
          <w:lang w:val="fr-FR"/>
        </w:rPr>
        <w:sectPr w:rsidR="003A4209">
          <w:footerReference w:type="default" r:id="rId8"/>
          <w:pgSz w:w="11900" w:h="16840"/>
          <w:pgMar w:top="280" w:right="1140" w:bottom="1140" w:left="1140" w:header="280" w:footer="1140" w:gutter="0"/>
          <w:cols w:space="708"/>
        </w:sectPr>
      </w:pPr>
      <w:r>
        <w:rPr>
          <w:color w:val="000000"/>
          <w:lang w:val="fr-FR"/>
        </w:rPr>
        <w:t xml:space="preserve">Pour justifier des </w:t>
      </w:r>
      <w:r>
        <w:rPr>
          <w:color w:val="000000"/>
          <w:lang w:val="fr-FR"/>
        </w:rPr>
        <w:t>capacités professionnelles, techniques et financières d'autres opérateurs économiques sur lesquels il s'appuie pour présenter sa candidature, le candidat produit les mêmes documents concernant cet opérateur économique que ceux qui lui sont exigés par  le p</w:t>
      </w:r>
      <w:r>
        <w:rPr>
          <w:color w:val="000000"/>
          <w:lang w:val="fr-FR"/>
        </w:rPr>
        <w:t>ouvoir adjudicateur. En outre, pour justifier qu'il dispose des capacités de cet opérateur économique pour l'exécution des prestations, le candidat produit un engagement écrit de l'opérateur économique.</w:t>
      </w:r>
      <w:r>
        <w:rPr>
          <w:color w:val="000000"/>
          <w:lang w:val="fr-FR"/>
        </w:rPr>
        <w:cr/>
      </w:r>
    </w:p>
    <w:p w14:paraId="5C90BF48" w14:textId="77777777" w:rsidR="003A4209" w:rsidRDefault="009B24AF">
      <w:pPr>
        <w:pStyle w:val="ParagrapheIndent2"/>
        <w:jc w:val="both"/>
        <w:rPr>
          <w:color w:val="000000"/>
          <w:lang w:val="fr-FR"/>
        </w:rPr>
      </w:pPr>
      <w:r>
        <w:rPr>
          <w:color w:val="000000"/>
          <w:lang w:val="fr-FR"/>
        </w:rPr>
        <w:lastRenderedPageBreak/>
        <w:t>Pièces de l'offre :</w:t>
      </w:r>
    </w:p>
    <w:tbl>
      <w:tblPr>
        <w:tblW w:w="0" w:type="auto"/>
        <w:tblLayout w:type="fixed"/>
        <w:tblLook w:val="04A0" w:firstRow="1" w:lastRow="0" w:firstColumn="1" w:lastColumn="0" w:noHBand="0" w:noVBand="1"/>
      </w:tblPr>
      <w:tblGrid>
        <w:gridCol w:w="8400"/>
        <w:gridCol w:w="1200"/>
      </w:tblGrid>
      <w:tr w:rsidR="003A4209" w14:paraId="22884262"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8071CBA" w14:textId="77777777" w:rsidR="003A4209" w:rsidRDefault="009B24AF">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3E5D0CF" w14:textId="77777777" w:rsidR="003A4209" w:rsidRDefault="009B24AF">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Signature</w:t>
            </w:r>
          </w:p>
        </w:tc>
      </w:tr>
      <w:tr w:rsidR="003A4209" w14:paraId="692A7DF2"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677162" w14:textId="77777777" w:rsidR="003A4209" w:rsidRDefault="009B24AF">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L'acte </w:t>
            </w:r>
            <w:r>
              <w:rPr>
                <w:rFonts w:ascii="Tahoma" w:eastAsia="Tahoma" w:hAnsi="Tahoma" w:cs="Tahoma"/>
                <w:color w:val="000000"/>
                <w:sz w:val="20"/>
                <w:lang w:val="fr-FR"/>
              </w:rPr>
              <w:t>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7596E3" w14:textId="77777777" w:rsidR="003A4209" w:rsidRDefault="009B24AF">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3A4209" w14:paraId="0140A42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2E93F1" w14:textId="77777777" w:rsidR="003A4209" w:rsidRDefault="009B24AF">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Le bordereau des prix unitaires (BPU) au format excel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EE5505" w14:textId="77777777" w:rsidR="003A4209" w:rsidRDefault="009B24AF">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3A4209" w14:paraId="4626E69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E6C922" w14:textId="77777777" w:rsidR="003A4209" w:rsidRDefault="009B24AF">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Le détail quantitatif estimatif (DQE) au format excel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BEEA14" w14:textId="77777777" w:rsidR="003A4209" w:rsidRDefault="009B24AF">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3A4209" w14:paraId="5CC2E732"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69A8AA" w14:textId="77777777" w:rsidR="003A4209" w:rsidRDefault="009B24AF">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Le catalogue et le tarif du fournisseur ou l'adresse URL permettant de les consulter librement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78723A" w14:textId="77777777" w:rsidR="003A4209" w:rsidRDefault="009B24AF">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3A4209" w14:paraId="61CFB70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2C57FC" w14:textId="77777777" w:rsidR="003A4209" w:rsidRDefault="009B24AF">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Le cadre de réponse technique dûment renseigné.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382AD4" w14:textId="77777777" w:rsidR="003A4209" w:rsidRDefault="009B24AF">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3A4209" w14:paraId="0F11E6D0" w14:textId="77777777">
        <w:trPr>
          <w:trHeight w:val="4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AE0B64" w14:textId="77777777" w:rsidR="003A4209" w:rsidRDefault="009B24AF">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En cas de réponse à l'offre de base, un dossier technique de 10 pages A4 maximum comprenant les visuels et descriptif technique des matériels proposés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F7F8D5" w14:textId="77777777" w:rsidR="003A4209" w:rsidRDefault="009B24AF">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3A4209" w14:paraId="31AA67A6" w14:textId="77777777">
        <w:trPr>
          <w:trHeight w:val="4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D06E76" w14:textId="77777777" w:rsidR="003A4209" w:rsidRDefault="009B24AF">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Pour chaque variante proposée un dossier </w:t>
            </w:r>
            <w:r>
              <w:rPr>
                <w:rFonts w:ascii="Tahoma" w:eastAsia="Tahoma" w:hAnsi="Tahoma" w:cs="Tahoma"/>
                <w:color w:val="000000"/>
                <w:sz w:val="20"/>
                <w:lang w:val="fr-FR"/>
              </w:rPr>
              <w:t>technique de 10 pages A4 maximum comprenant, les visuels et descriptif technique des matériels proposés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2A87D9" w14:textId="77777777" w:rsidR="003A4209" w:rsidRDefault="009B24AF">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3A4209" w14:paraId="40C736A3"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5720A5" w14:textId="77777777" w:rsidR="003A4209" w:rsidRDefault="009B24AF">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Le cadre de réponse environnemental dument renseigné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8C55E0" w14:textId="77777777" w:rsidR="003A4209" w:rsidRDefault="009B24AF">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bl>
    <w:p w14:paraId="3587D0E6" w14:textId="77777777" w:rsidR="003A4209" w:rsidRDefault="009B24AF" w:rsidP="009B24AF">
      <w:pPr>
        <w:spacing w:line="240" w:lineRule="exact"/>
      </w:pPr>
      <w:r>
        <w:t xml:space="preserve"> </w:t>
      </w:r>
    </w:p>
    <w:p w14:paraId="3665DE8C" w14:textId="77777777" w:rsidR="003A4209" w:rsidRDefault="009B24AF">
      <w:pPr>
        <w:pStyle w:val="ParagrapheIndent2"/>
        <w:spacing w:line="241" w:lineRule="exact"/>
        <w:jc w:val="both"/>
        <w:rPr>
          <w:color w:val="000000"/>
          <w:lang w:val="fr-FR"/>
        </w:rPr>
      </w:pPr>
      <w:r>
        <w:rPr>
          <w:color w:val="000000"/>
          <w:lang w:val="fr-FR"/>
        </w:rPr>
        <w:t xml:space="preserve">Lorsque certaines pièces de l'offre comportent un nombre de pages maximum à </w:t>
      </w:r>
      <w:r>
        <w:rPr>
          <w:color w:val="000000"/>
          <w:lang w:val="fr-FR"/>
        </w:rPr>
        <w:t>respecter, les candidats sont informés du fait qu'en cas de dépassement, ils pourront se voir retirer des points dans la note qui leur sera attribuée sur les différents critères auxquels s'appliquent les documents à fournir.</w:t>
      </w:r>
    </w:p>
    <w:p w14:paraId="7D177646" w14:textId="77777777" w:rsidR="003A4209" w:rsidRDefault="003A4209">
      <w:pPr>
        <w:pStyle w:val="ParagrapheIndent2"/>
        <w:spacing w:line="241" w:lineRule="exact"/>
        <w:jc w:val="both"/>
        <w:rPr>
          <w:color w:val="000000"/>
          <w:lang w:val="fr-FR"/>
        </w:rPr>
      </w:pPr>
    </w:p>
    <w:p w14:paraId="08215E55" w14:textId="77777777" w:rsidR="003A4209" w:rsidRDefault="009B24AF">
      <w:pPr>
        <w:pStyle w:val="ParagrapheIndent2"/>
        <w:spacing w:line="241" w:lineRule="exact"/>
        <w:jc w:val="both"/>
        <w:rPr>
          <w:color w:val="000000"/>
          <w:lang w:val="fr-FR"/>
        </w:rPr>
      </w:pPr>
      <w:r>
        <w:rPr>
          <w:color w:val="000000"/>
          <w:lang w:val="fr-FR"/>
        </w:rPr>
        <w:t>Lorsque le dossier de consulta</w:t>
      </w:r>
      <w:r>
        <w:rPr>
          <w:color w:val="000000"/>
          <w:lang w:val="fr-FR"/>
        </w:rPr>
        <w:t xml:space="preserve">tion comporte des documents à compléter en vue de la remise de l'offre, notamment documents financiers, cadres de réponse, cadre RGPD et sécurité, les candidats pourront voir leur offre déclarée irrégulière ou leur note dégradée s'ils n'ont pas fait usage </w:t>
      </w:r>
      <w:r>
        <w:rPr>
          <w:color w:val="000000"/>
          <w:lang w:val="fr-FR"/>
        </w:rPr>
        <w:t>desdits documents et/ou s'ils y ont apporté des modifications.</w:t>
      </w:r>
    </w:p>
    <w:p w14:paraId="032CA2F2" w14:textId="77777777" w:rsidR="003A4209" w:rsidRDefault="003A4209">
      <w:pPr>
        <w:pStyle w:val="ParagrapheIndent2"/>
        <w:spacing w:line="241" w:lineRule="exact"/>
        <w:jc w:val="both"/>
        <w:rPr>
          <w:color w:val="000000"/>
          <w:lang w:val="fr-FR"/>
        </w:rPr>
      </w:pPr>
    </w:p>
    <w:p w14:paraId="6273DD00" w14:textId="77777777" w:rsidR="003A4209" w:rsidRDefault="009B24AF">
      <w:pPr>
        <w:pStyle w:val="ParagrapheIndent2"/>
        <w:spacing w:line="241"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w:t>
      </w:r>
      <w:r>
        <w:rPr>
          <w:color w:val="000000"/>
          <w:lang w:val="fr-FR"/>
        </w:rPr>
        <w:t>nt la sous-traitance est envisagée, la dénomination et la qualité des sous-traitants.</w:t>
      </w:r>
    </w:p>
    <w:p w14:paraId="11F246F6" w14:textId="77777777" w:rsidR="003A4209" w:rsidRDefault="003A4209">
      <w:pPr>
        <w:pStyle w:val="ParagrapheIndent2"/>
        <w:spacing w:line="241" w:lineRule="exact"/>
        <w:jc w:val="both"/>
        <w:rPr>
          <w:color w:val="000000"/>
          <w:lang w:val="fr-FR"/>
        </w:rPr>
      </w:pPr>
    </w:p>
    <w:p w14:paraId="1698FC73" w14:textId="77777777" w:rsidR="003A4209" w:rsidRDefault="009B24AF">
      <w:pPr>
        <w:pStyle w:val="ParagrapheIndent2"/>
        <w:spacing w:after="240" w:line="241" w:lineRule="exact"/>
        <w:jc w:val="both"/>
        <w:rPr>
          <w:color w:val="000000"/>
          <w:lang w:val="fr-FR"/>
        </w:rPr>
      </w:pPr>
      <w:r>
        <w:rPr>
          <w:color w:val="000000"/>
          <w:lang w:val="fr-FR"/>
        </w:rPr>
        <w:t>Les tâches que l'acheteur souhaite faire effectuer exclusivement par le titulaire du contrat sont indiquées au cahier des charges.</w:t>
      </w:r>
    </w:p>
    <w:p w14:paraId="06197A48" w14:textId="77777777" w:rsidR="003A4209" w:rsidRDefault="009B24AF">
      <w:pPr>
        <w:pStyle w:val="Titre2"/>
        <w:ind w:left="280"/>
        <w:jc w:val="both"/>
        <w:rPr>
          <w:rFonts w:ascii="Tahoma" w:eastAsia="Tahoma" w:hAnsi="Tahoma" w:cs="Tahoma"/>
          <w:i w:val="0"/>
          <w:color w:val="000000"/>
          <w:sz w:val="24"/>
          <w:lang w:val="fr-FR"/>
        </w:rPr>
      </w:pPr>
      <w:bookmarkStart w:id="36" w:name="ArtL2_RC-2-A7.6"/>
      <w:bookmarkStart w:id="37" w:name="_Toc256000018"/>
      <w:bookmarkEnd w:id="36"/>
      <w:r>
        <w:rPr>
          <w:rFonts w:ascii="Tahoma" w:eastAsia="Tahoma" w:hAnsi="Tahoma" w:cs="Tahoma"/>
          <w:i w:val="0"/>
          <w:color w:val="000000"/>
          <w:sz w:val="24"/>
          <w:lang w:val="fr-FR"/>
        </w:rPr>
        <w:t xml:space="preserve">5.2 - Présentation des </w:t>
      </w:r>
      <w:r>
        <w:rPr>
          <w:rFonts w:ascii="Tahoma" w:eastAsia="Tahoma" w:hAnsi="Tahoma" w:cs="Tahoma"/>
          <w:i w:val="0"/>
          <w:color w:val="000000"/>
          <w:sz w:val="24"/>
          <w:lang w:val="fr-FR"/>
        </w:rPr>
        <w:t>variantes</w:t>
      </w:r>
      <w:bookmarkEnd w:id="37"/>
    </w:p>
    <w:p w14:paraId="1A74DFF8" w14:textId="77777777" w:rsidR="003A4209" w:rsidRDefault="009B24AF">
      <w:pPr>
        <w:pStyle w:val="ParagrapheIndent2"/>
        <w:spacing w:after="240" w:line="241" w:lineRule="exact"/>
        <w:jc w:val="both"/>
        <w:rPr>
          <w:color w:val="000000"/>
          <w:lang w:val="fr-FR"/>
        </w:rPr>
      </w:pPr>
      <w:r>
        <w:rPr>
          <w:color w:val="000000"/>
          <w:lang w:val="fr-FR"/>
        </w:rPr>
        <w:t>Les candidats présenteront techniquement la ou les prestations dans leur offre. Chaque prestation sera chiffrée sur le bordereau des prix unitaires (BPU) et sur le détail quantitatif estimatif (DQE).</w:t>
      </w:r>
    </w:p>
    <w:p w14:paraId="10C0EF55" w14:textId="77777777" w:rsidR="003A4209" w:rsidRDefault="009B24AF">
      <w:pPr>
        <w:pStyle w:val="Titre1"/>
        <w:rPr>
          <w:rFonts w:ascii="Tahoma" w:eastAsia="Tahoma" w:hAnsi="Tahoma" w:cs="Tahoma"/>
          <w:color w:val="000000"/>
          <w:sz w:val="28"/>
          <w:lang w:val="fr-FR"/>
        </w:rPr>
      </w:pPr>
      <w:bookmarkStart w:id="38" w:name="ArtL1_RC-2-A8"/>
      <w:bookmarkStart w:id="39" w:name="_Toc256000019"/>
      <w:bookmarkEnd w:id="38"/>
      <w:r>
        <w:rPr>
          <w:rFonts w:ascii="Tahoma" w:eastAsia="Tahoma" w:hAnsi="Tahoma" w:cs="Tahoma"/>
          <w:color w:val="000000"/>
          <w:sz w:val="28"/>
          <w:lang w:val="fr-FR"/>
        </w:rPr>
        <w:t>6 - Conditions d'envoi ou de remise des plis</w:t>
      </w:r>
      <w:bookmarkEnd w:id="39"/>
    </w:p>
    <w:p w14:paraId="54AA593C" w14:textId="77777777" w:rsidR="003A4209" w:rsidRDefault="009B24AF">
      <w:pPr>
        <w:pStyle w:val="ParagrapheIndent1"/>
        <w:spacing w:after="240" w:line="241" w:lineRule="exact"/>
        <w:jc w:val="both"/>
        <w:rPr>
          <w:color w:val="000000"/>
          <w:lang w:val="fr-FR"/>
        </w:rPr>
      </w:pPr>
      <w:r>
        <w:rPr>
          <w:color w:val="000000"/>
          <w:lang w:val="fr-FR"/>
        </w:rPr>
        <w:t>L</w:t>
      </w:r>
      <w:r>
        <w:rPr>
          <w:color w:val="000000"/>
          <w:lang w:val="fr-FR"/>
        </w:rPr>
        <w:t>es plis devront parvenir à destination avant la date et l'heure limites de réception des offres indiquées sur la page de garde du présent document.</w:t>
      </w:r>
    </w:p>
    <w:p w14:paraId="262E25F8" w14:textId="77777777" w:rsidR="003A4209" w:rsidRDefault="009B24AF">
      <w:pPr>
        <w:pStyle w:val="Titre2"/>
        <w:ind w:left="280"/>
        <w:jc w:val="both"/>
        <w:rPr>
          <w:rFonts w:ascii="Tahoma" w:eastAsia="Tahoma" w:hAnsi="Tahoma" w:cs="Tahoma"/>
          <w:i w:val="0"/>
          <w:color w:val="000000"/>
          <w:sz w:val="24"/>
          <w:lang w:val="fr-FR"/>
        </w:rPr>
      </w:pPr>
      <w:bookmarkStart w:id="40" w:name="ArtL2_RC-2-A8.4"/>
      <w:bookmarkStart w:id="41" w:name="_Toc256000020"/>
      <w:bookmarkEnd w:id="40"/>
      <w:r>
        <w:rPr>
          <w:rFonts w:ascii="Tahoma" w:eastAsia="Tahoma" w:hAnsi="Tahoma" w:cs="Tahoma"/>
          <w:i w:val="0"/>
          <w:color w:val="000000"/>
          <w:sz w:val="24"/>
          <w:lang w:val="fr-FR"/>
        </w:rPr>
        <w:t>6.1 - Transmission électronique</w:t>
      </w:r>
      <w:bookmarkEnd w:id="41"/>
    </w:p>
    <w:p w14:paraId="53736665" w14:textId="77777777" w:rsidR="003A4209" w:rsidRDefault="009B24AF">
      <w:pPr>
        <w:pStyle w:val="ParagrapheIndent2"/>
        <w:spacing w:line="241" w:lineRule="exact"/>
        <w:jc w:val="both"/>
        <w:rPr>
          <w:color w:val="000000"/>
          <w:lang w:val="fr-FR"/>
        </w:rPr>
      </w:pPr>
      <w:r>
        <w:rPr>
          <w:color w:val="000000"/>
          <w:lang w:val="fr-FR"/>
        </w:rPr>
        <w:t>La transmission des documents par voie électronique est effectuée sur le pro</w:t>
      </w:r>
      <w:r>
        <w:rPr>
          <w:color w:val="000000"/>
          <w:lang w:val="fr-FR"/>
        </w:rPr>
        <w:t>fil d'acheteur du pouvoir adjudicateur, à l'adresse URL suivante : https://www.larochelle.fr/vie-quotidienne/professionnels/marches-publics.</w:t>
      </w:r>
    </w:p>
    <w:p w14:paraId="0D2C1F97" w14:textId="77777777" w:rsidR="003A4209" w:rsidRDefault="003A4209">
      <w:pPr>
        <w:pStyle w:val="ParagrapheIndent2"/>
        <w:spacing w:line="241" w:lineRule="exact"/>
        <w:jc w:val="both"/>
        <w:rPr>
          <w:color w:val="000000"/>
          <w:lang w:val="fr-FR"/>
        </w:rPr>
      </w:pPr>
    </w:p>
    <w:p w14:paraId="70C490BC" w14:textId="77777777" w:rsidR="003A4209" w:rsidRDefault="009B24AF">
      <w:pPr>
        <w:pStyle w:val="ParagrapheIndent2"/>
        <w:spacing w:line="241" w:lineRule="exact"/>
        <w:jc w:val="both"/>
        <w:rPr>
          <w:color w:val="000000"/>
          <w:lang w:val="fr-FR"/>
        </w:rPr>
      </w:pPr>
      <w:r>
        <w:rPr>
          <w:color w:val="000000"/>
          <w:lang w:val="fr-FR"/>
        </w:rPr>
        <w:t>Le choix du mode de transmission est global et irréversible. Les candidats doivent appliquer le même mode de trans</w:t>
      </w:r>
      <w:r>
        <w:rPr>
          <w:color w:val="000000"/>
          <w:lang w:val="fr-FR"/>
        </w:rPr>
        <w:t>mission à l'ensemble des documents transmis au pouvoir adjudicateur.</w:t>
      </w:r>
    </w:p>
    <w:p w14:paraId="3FF174EF" w14:textId="77777777" w:rsidR="003A4209" w:rsidRDefault="009B24AF">
      <w:pPr>
        <w:pStyle w:val="ParagrapheIndent2"/>
        <w:spacing w:line="241" w:lineRule="exact"/>
        <w:jc w:val="both"/>
        <w:rPr>
          <w:color w:val="000000"/>
          <w:lang w:val="fr-FR"/>
        </w:rPr>
      </w:pPr>
      <w:r>
        <w:rPr>
          <w:color w:val="000000"/>
          <w:lang w:val="fr-FR"/>
        </w:rPr>
        <w:t> </w:t>
      </w:r>
    </w:p>
    <w:p w14:paraId="2D1FB963" w14:textId="77777777" w:rsidR="003A4209" w:rsidRDefault="009B24AF">
      <w:pPr>
        <w:pStyle w:val="ParagrapheIndent2"/>
        <w:spacing w:line="241" w:lineRule="exact"/>
        <w:jc w:val="both"/>
        <w:rPr>
          <w:color w:val="000000"/>
          <w:lang w:val="fr-FR"/>
        </w:rPr>
      </w:pPr>
      <w:r>
        <w:rPr>
          <w:color w:val="000000"/>
          <w:lang w:val="fr-FR"/>
        </w:rPr>
        <w:t xml:space="preserve">Le pli doit être déposé impérativement sur le guichet dédié à la consultation sur laquelle le candidat souhaite remettre une offre. A défaut, le pli ne sera pas pris en compte, et </w:t>
      </w:r>
      <w:r>
        <w:rPr>
          <w:color w:val="000000"/>
          <w:lang w:val="fr-FR"/>
        </w:rPr>
        <w:t>ce, même s'il a été déposé dans les délais impartis mais sur un autre guichet portant sur une consultation dont l'objet diffère de celui attaché à la présente consultation.</w:t>
      </w:r>
    </w:p>
    <w:p w14:paraId="2221B8A1" w14:textId="77777777" w:rsidR="003A4209" w:rsidRDefault="003A4209">
      <w:pPr>
        <w:pStyle w:val="ParagrapheIndent2"/>
        <w:spacing w:after="140" w:line="241" w:lineRule="exact"/>
        <w:jc w:val="both"/>
        <w:rPr>
          <w:color w:val="000000"/>
          <w:lang w:val="fr-FR"/>
        </w:rPr>
      </w:pPr>
    </w:p>
    <w:p w14:paraId="36B61B56" w14:textId="49379C76" w:rsidR="009B24AF" w:rsidRDefault="009B24AF">
      <w:pPr>
        <w:pStyle w:val="ParagrapheIndent2"/>
        <w:spacing w:after="240" w:line="241" w:lineRule="exact"/>
        <w:jc w:val="both"/>
        <w:rPr>
          <w:color w:val="000000"/>
          <w:lang w:val="fr-FR"/>
        </w:rPr>
      </w:pPr>
      <w:r>
        <w:rPr>
          <w:color w:val="000000"/>
          <w:lang w:val="fr-FR"/>
        </w:rPr>
        <w:t>Par ailleurs, pour éviter les plis remis hors délais, les candidats sont invités à observer un délai de prudence pour déposer leur pli afin d'anticiper d'éventuels soucis d'ordre technique ou fonctionnel liés à l'utilisation de la plate</w:t>
      </w:r>
      <w:r>
        <w:rPr>
          <w:color w:val="000000"/>
          <w:lang w:val="fr-FR"/>
        </w:rPr>
        <w:t>forme. Les plis remis hors délais seront automatiquement écartés, même si le dépassement se chiffre en secondes ou en minutes.</w:t>
      </w:r>
    </w:p>
    <w:p w14:paraId="6AEAB53C" w14:textId="77777777" w:rsidR="003A4209" w:rsidRDefault="009B24AF">
      <w:pPr>
        <w:pStyle w:val="ParagrapheIndent2"/>
        <w:spacing w:after="240" w:line="241" w:lineRule="exact"/>
        <w:jc w:val="both"/>
        <w:rPr>
          <w:color w:val="000000"/>
          <w:lang w:val="fr-FR"/>
        </w:rPr>
      </w:pPr>
      <w:r>
        <w:rPr>
          <w:color w:val="000000"/>
          <w:lang w:val="fr-FR"/>
        </w:rPr>
        <w:br w:type="page"/>
      </w:r>
    </w:p>
    <w:p w14:paraId="034380B2" w14:textId="77777777" w:rsidR="003A4209" w:rsidRDefault="009B24AF">
      <w:pPr>
        <w:pStyle w:val="ParagrapheIndent2"/>
        <w:spacing w:line="241" w:lineRule="exact"/>
        <w:jc w:val="both"/>
        <w:rPr>
          <w:color w:val="000000"/>
          <w:lang w:val="fr-FR"/>
        </w:rPr>
      </w:pPr>
      <w:r>
        <w:rPr>
          <w:color w:val="000000"/>
          <w:lang w:val="fr-FR"/>
        </w:rPr>
        <w:t>Le pli doit contenir deux dossiers distincts comportant respectivement les pièces de la candidature et les pièces de l'offre défi</w:t>
      </w:r>
      <w:r>
        <w:rPr>
          <w:color w:val="000000"/>
          <w:lang w:val="fr-FR"/>
        </w:rPr>
        <w:t>nies au présent règlement de la consultation.</w:t>
      </w:r>
    </w:p>
    <w:p w14:paraId="4FACE6F5" w14:textId="77777777" w:rsidR="003A4209" w:rsidRDefault="003A4209">
      <w:pPr>
        <w:pStyle w:val="ParagrapheIndent2"/>
        <w:spacing w:line="241" w:lineRule="exact"/>
        <w:jc w:val="both"/>
        <w:rPr>
          <w:color w:val="000000"/>
          <w:lang w:val="fr-FR"/>
        </w:rPr>
      </w:pPr>
    </w:p>
    <w:p w14:paraId="37252AFC" w14:textId="77777777" w:rsidR="003A4209" w:rsidRDefault="009B24AF">
      <w:pPr>
        <w:pStyle w:val="ParagrapheIndent2"/>
        <w:spacing w:line="241"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w:t>
      </w:r>
      <w:r>
        <w:rPr>
          <w:color w:val="000000"/>
          <w:lang w:val="fr-FR"/>
        </w:rPr>
        <w:t>rid. Le pli sera considéré « hors délai » si le téléchargement se termine après la date et l'heure limites de réception des offres.</w:t>
      </w:r>
    </w:p>
    <w:p w14:paraId="27EED832" w14:textId="77777777" w:rsidR="003A4209" w:rsidRDefault="003A4209">
      <w:pPr>
        <w:pStyle w:val="ParagrapheIndent2"/>
        <w:spacing w:line="241" w:lineRule="exact"/>
        <w:jc w:val="both"/>
        <w:rPr>
          <w:color w:val="000000"/>
          <w:lang w:val="fr-FR"/>
        </w:rPr>
      </w:pPr>
    </w:p>
    <w:p w14:paraId="10E8B70E" w14:textId="77777777" w:rsidR="003A4209" w:rsidRDefault="009B24AF">
      <w:pPr>
        <w:pStyle w:val="ParagrapheIndent2"/>
        <w:spacing w:after="240" w:line="241"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w:t>
      </w:r>
      <w:r>
        <w:rPr>
          <w:b/>
          <w:color w:val="000000"/>
          <w:lang w:val="fr-FR"/>
        </w:rPr>
        <w:t xml:space="preserve"> pris en compte par l'acheteur.</w:t>
      </w:r>
      <w:r>
        <w:rPr>
          <w:color w:val="000000"/>
          <w:lang w:val="fr-FR"/>
        </w:rPr>
        <w:t xml:space="preserve"> Il doit par conséquent contenir l'ensemble des pièces exigées au titre de la présente consultation.</w:t>
      </w:r>
    </w:p>
    <w:p w14:paraId="4AC3531A" w14:textId="77777777" w:rsidR="003A4209" w:rsidRDefault="009B24AF">
      <w:pPr>
        <w:pStyle w:val="ParagrapheIndent2"/>
        <w:spacing w:line="241" w:lineRule="exact"/>
        <w:jc w:val="both"/>
        <w:rPr>
          <w:color w:val="000000"/>
          <w:lang w:val="fr-FR"/>
        </w:rPr>
      </w:pPr>
      <w:r>
        <w:rPr>
          <w:color w:val="000000"/>
          <w:lang w:val="fr-FR"/>
        </w:rPr>
        <w:t>Le pli peut être doublé d'une copie de sauvegarde transmise dans les délais impartis, sur support physique électronique (CD-</w:t>
      </w:r>
      <w:r>
        <w:rPr>
          <w:color w:val="000000"/>
          <w:lang w:val="fr-FR"/>
        </w:rPr>
        <w:t>ROM, DVD-ROM, clé usb) ou sur support papier. Cette copie doit être placée dans un pli portant la mention « copie de sauvegarde », ainsi que le nom du candidat et l'identification de la procédure concernée. Elle est ouverte dans les cas suivants :</w:t>
      </w:r>
    </w:p>
    <w:p w14:paraId="4257DD11" w14:textId="77777777" w:rsidR="003A4209" w:rsidRDefault="009B24AF">
      <w:pPr>
        <w:pStyle w:val="ParagrapheIndent2"/>
        <w:spacing w:line="241" w:lineRule="exact"/>
        <w:jc w:val="both"/>
        <w:rPr>
          <w:color w:val="000000"/>
          <w:lang w:val="fr-FR"/>
        </w:rPr>
      </w:pPr>
      <w:r>
        <w:rPr>
          <w:color w:val="000000"/>
          <w:lang w:val="fr-FR"/>
        </w:rPr>
        <w:t>- lorsqu</w:t>
      </w:r>
      <w:r>
        <w:rPr>
          <w:color w:val="000000"/>
          <w:lang w:val="fr-FR"/>
        </w:rPr>
        <w:t>'un programme informatique malveillant est détecté dans le pli transmis par voie électronique ;</w:t>
      </w:r>
    </w:p>
    <w:p w14:paraId="3FC8C019" w14:textId="77777777" w:rsidR="003A4209" w:rsidRDefault="009B24AF">
      <w:pPr>
        <w:pStyle w:val="ParagrapheIndent2"/>
        <w:spacing w:line="241" w:lineRule="exact"/>
        <w:jc w:val="both"/>
        <w:rPr>
          <w:color w:val="000000"/>
          <w:lang w:val="fr-FR"/>
        </w:rPr>
      </w:pPr>
      <w:r>
        <w:rPr>
          <w:color w:val="000000"/>
          <w:lang w:val="fr-FR"/>
        </w:rPr>
        <w:t xml:space="preserve">- lorsque le pli électronique est reçu de façon incomplète, hors délai ou n'a pu être ouvert, à condition que sa transmission ait commencé avant la </w:t>
      </w:r>
      <w:r>
        <w:rPr>
          <w:color w:val="000000"/>
          <w:lang w:val="fr-FR"/>
        </w:rPr>
        <w:t>clôture de la remise des plis.</w:t>
      </w:r>
    </w:p>
    <w:p w14:paraId="137E60A4" w14:textId="77777777" w:rsidR="003A4209" w:rsidRDefault="003A4209">
      <w:pPr>
        <w:pStyle w:val="ParagrapheIndent2"/>
        <w:spacing w:line="241" w:lineRule="exact"/>
        <w:jc w:val="both"/>
        <w:rPr>
          <w:color w:val="000000"/>
          <w:lang w:val="fr-FR"/>
        </w:rPr>
      </w:pPr>
    </w:p>
    <w:p w14:paraId="724E3A15" w14:textId="77777777" w:rsidR="003A4209" w:rsidRDefault="009B24AF">
      <w:pPr>
        <w:pStyle w:val="ParagrapheIndent2"/>
        <w:spacing w:line="241" w:lineRule="exact"/>
        <w:jc w:val="both"/>
        <w:rPr>
          <w:color w:val="000000"/>
          <w:lang w:val="fr-FR"/>
        </w:rPr>
      </w:pPr>
      <w:r>
        <w:rPr>
          <w:color w:val="000000"/>
          <w:lang w:val="fr-FR"/>
        </w:rPr>
        <w:t>La copie de sauvegarde peut être transmise ou déposée à l'adresse suivante :</w:t>
      </w:r>
    </w:p>
    <w:p w14:paraId="3E1734E9" w14:textId="77777777" w:rsidR="003A4209" w:rsidRDefault="009B24AF">
      <w:pPr>
        <w:pStyle w:val="ParagrapheIndent2"/>
        <w:spacing w:after="240" w:line="241" w:lineRule="exact"/>
        <w:jc w:val="both"/>
        <w:rPr>
          <w:color w:val="495057"/>
          <w:lang w:val="fr-FR"/>
        </w:rPr>
      </w:pPr>
      <w:r>
        <w:rPr>
          <w:color w:val="495057"/>
          <w:lang w:val="fr-FR"/>
        </w:rPr>
        <w:t>CDA-Ville de La Rochelle -Service commun de la commande publique- 6 rue Saint-Michel -CS41287- 17086 LA ROCHELLE CEDEX 02</w:t>
      </w:r>
    </w:p>
    <w:p w14:paraId="1B559D19" w14:textId="77777777" w:rsidR="003A4209" w:rsidRDefault="009B24AF">
      <w:pPr>
        <w:pStyle w:val="ParagrapheIndent2"/>
        <w:spacing w:after="240" w:line="241" w:lineRule="exact"/>
        <w:jc w:val="both"/>
        <w:rPr>
          <w:b/>
          <w:color w:val="000000"/>
          <w:lang w:val="fr-FR"/>
        </w:rPr>
      </w:pPr>
      <w:r>
        <w:rPr>
          <w:color w:val="000000"/>
          <w:lang w:val="fr-FR"/>
        </w:rPr>
        <w:t>Aucun format électronique</w:t>
      </w:r>
      <w:r>
        <w:rPr>
          <w:color w:val="000000"/>
          <w:lang w:val="fr-FR"/>
        </w:rPr>
        <w:t xml:space="preserve"> n'est préconisé pour la transmission des documents. Cependant, les fichiers devront être transmis dans des formats largement disponibles.     </w:t>
      </w:r>
      <w:r>
        <w:rPr>
          <w:b/>
          <w:color w:val="000000"/>
          <w:lang w:val="fr-FR"/>
        </w:rPr>
        <w:t xml:space="preserve">AFIN DE FACILITER LE TRAITEMENT INFORMATIQUE DES PLIS PAR L' ACHETEUR , IL EST DEMANDE AUX CANDIDATS DE BIEN </w:t>
      </w:r>
      <w:r>
        <w:rPr>
          <w:b/>
          <w:color w:val="000000"/>
          <w:lang w:val="fr-FR"/>
        </w:rPr>
        <w:t>VOULOIR RESPECTER LES REGLES DE PRESENTATION SUIVANTES : </w:t>
      </w:r>
      <w:r>
        <w:rPr>
          <w:color w:val="000000"/>
          <w:lang w:val="fr-FR"/>
        </w:rPr>
        <w:t xml:space="preserve">   </w:t>
      </w:r>
      <w:r>
        <w:rPr>
          <w:b/>
          <w:color w:val="000000"/>
          <w:lang w:val="fr-FR"/>
        </w:rPr>
        <w:t>LES TITRES DES DOCUMENTS DOIVENT ETRE EXPLICITES ET BREFS (10 CARACTERES MAXIMUM) ET NE DOIVENT PAS CONTENIR DE CARACTERES SPECIAUX (pas d'accents ni de ponctuation). </w:t>
      </w:r>
    </w:p>
    <w:p w14:paraId="6A452C72" w14:textId="77777777" w:rsidR="003A4209" w:rsidRDefault="009B24AF">
      <w:pPr>
        <w:pStyle w:val="ParagrapheIndent2"/>
        <w:spacing w:line="241" w:lineRule="exact"/>
        <w:jc w:val="both"/>
        <w:rPr>
          <w:color w:val="000000"/>
          <w:lang w:val="fr-FR"/>
        </w:rPr>
      </w:pPr>
      <w:r>
        <w:rPr>
          <w:b/>
          <w:color w:val="000000"/>
          <w:u w:val="single"/>
          <w:lang w:val="fr-FR"/>
        </w:rPr>
        <w:t xml:space="preserve">Dispositions relatives à la signature électronique : </w:t>
      </w:r>
      <w:r>
        <w:rPr>
          <w:b/>
          <w:color w:val="000000"/>
          <w:lang w:val="fr-FR"/>
        </w:rPr>
        <w:t>La signature électronique des documents n'est pas exigée dans le cadre de cette consultation. Toutefois, les candidats qui disposent de la</w:t>
      </w:r>
      <w:r>
        <w:rPr>
          <w:b/>
          <w:color w:val="000000"/>
          <w:lang w:val="fr-FR"/>
        </w:rPr>
        <w:t xml:space="preserve"> signature électronique sont invités à remettre une offre signée électroniquement.</w:t>
      </w:r>
      <w:r>
        <w:rPr>
          <w:color w:val="000000"/>
          <w:lang w:val="fr-FR"/>
        </w:rPr>
        <w:t xml:space="preserve">   </w:t>
      </w:r>
      <w:r>
        <w:rPr>
          <w:b/>
          <w:color w:val="000000"/>
          <w:lang w:val="fr-FR"/>
        </w:rPr>
        <w:t>Pour signer électroniquement, les candidats peuvent utiliser l'un des trois formats de signature autorisés par la réglementation (XAdES, CAdES ou PAdES). L' acheteur préco</w:t>
      </w:r>
      <w:r>
        <w:rPr>
          <w:b/>
          <w:color w:val="000000"/>
          <w:lang w:val="fr-FR"/>
        </w:rPr>
        <w:t>nise toutefois l'utilisation d'une signature électronique au format CAdES. </w:t>
      </w:r>
      <w:r>
        <w:rPr>
          <w:color w:val="000000"/>
          <w:lang w:val="fr-FR"/>
        </w:rPr>
        <w:t xml:space="preserve">   </w:t>
      </w:r>
      <w:r>
        <w:rPr>
          <w:b/>
          <w:color w:val="000000"/>
          <w:lang w:val="fr-FR"/>
        </w:rPr>
        <w:t>Chaque document pour lequel une signature est requise doit faire l'objet d'une signature électronique. En effet, la signature électronique du pli ne vaut pas signature des docume</w:t>
      </w:r>
      <w:r>
        <w:rPr>
          <w:b/>
          <w:color w:val="000000"/>
          <w:lang w:val="fr-FR"/>
        </w:rPr>
        <w:t>nts qu'il contient. Conformément à l'arrêté du 22 mars 2019 relatif à la signature électronique des contrats de la commande publique, la signature doit être une signature avancée reposant sur un certificat qualifié, tel que défini par le règlement européen</w:t>
      </w:r>
      <w:r>
        <w:rPr>
          <w:b/>
          <w:color w:val="000000"/>
          <w:lang w:val="fr-FR"/>
        </w:rPr>
        <w:t xml:space="preserve"> n° 910/2014 du 23 juillet 2014 sur l'identification électronique et les services de confiance pour les transactions électroniques (eIDAS). Toutefois, les certificats de signature de type RGS demeurent valables jusqu'à leur expiration. Le certificat de sig</w:t>
      </w:r>
      <w:r>
        <w:rPr>
          <w:b/>
          <w:color w:val="000000"/>
          <w:lang w:val="fr-FR"/>
        </w:rPr>
        <w:t>nature qualifié est délivré par un prestataire de service de confiance qualifié répondant aux exigences du règlement eIDAS. Une liste de prestataires est disponible sur le site de l'ANSSI (https://www.ssi.gouv.fr/). Il peut aussi être délivré par une autor</w:t>
      </w:r>
      <w:r>
        <w:rPr>
          <w:b/>
          <w:color w:val="000000"/>
          <w:lang w:val="fr-FR"/>
        </w:rPr>
        <w:t>ité de certification, française ou étrangère. Le candidat devra alors démontrer son équivalence au règlement eIDAS. Le candidat qui utilise un autre outil de signature que celui du profil d'acheteur, ou un certificat délivré par une autre autorité de certi</w:t>
      </w:r>
      <w:r>
        <w:rPr>
          <w:b/>
          <w:color w:val="000000"/>
          <w:lang w:val="fr-FR"/>
        </w:rPr>
        <w:t>fication, doit transmettre gratuitement le mode d'emploi permettant la vérification de la validité de la signature.</w:t>
      </w:r>
      <w:r>
        <w:rPr>
          <w:color w:val="000000"/>
          <w:lang w:val="fr-FR"/>
        </w:rPr>
        <w:t xml:space="preserve">  </w:t>
      </w:r>
      <w:r>
        <w:rPr>
          <w:color w:val="000000"/>
          <w:lang w:val="fr-FR"/>
        </w:rPr>
        <w:cr/>
      </w:r>
    </w:p>
    <w:p w14:paraId="302E82DB" w14:textId="77777777" w:rsidR="003A4209" w:rsidRDefault="009B24AF">
      <w:pPr>
        <w:pStyle w:val="ParagrapheIndent2"/>
        <w:spacing w:after="240" w:line="241" w:lineRule="exact"/>
        <w:jc w:val="both"/>
        <w:rPr>
          <w:color w:val="495057"/>
          <w:lang w:val="fr-FR"/>
        </w:rPr>
      </w:pPr>
      <w:r>
        <w:rPr>
          <w:color w:val="495057"/>
          <w:lang w:val="fr-FR"/>
        </w:rPr>
        <w:t>La signature électronique du contrat par l'attributaire n'est pas exigée dans le cadre de cette consultation mais elle est privilégiée pa</w:t>
      </w:r>
      <w:r>
        <w:rPr>
          <w:color w:val="495057"/>
          <w:lang w:val="fr-FR"/>
        </w:rPr>
        <w:t xml:space="preserve">r l'acheteur. </w:t>
      </w:r>
    </w:p>
    <w:p w14:paraId="035EC735" w14:textId="019869F1" w:rsidR="009B24AF" w:rsidRDefault="009B24AF">
      <w:pPr>
        <w:pStyle w:val="ParagrapheIndent2"/>
        <w:spacing w:after="240" w:line="241" w:lineRule="exact"/>
        <w:jc w:val="both"/>
        <w:rPr>
          <w:b/>
          <w:color w:val="000000"/>
          <w:lang w:val="fr-FR"/>
        </w:rPr>
      </w:pPr>
      <w:r>
        <w:rPr>
          <w:b/>
          <w:color w:val="000000"/>
          <w:lang w:val="fr-FR"/>
        </w:rPr>
        <w:t>En l’absence de signature électronique, après attribution, les candidats sont informés que l'offre électronique retenue sera transformée en offre papier, pour donner lieu à la signature manuscrite de l'accord-cadre par les parties.</w:t>
      </w:r>
    </w:p>
    <w:p w14:paraId="3CDCE70B" w14:textId="77777777" w:rsidR="003A4209" w:rsidRDefault="009B24AF">
      <w:pPr>
        <w:pStyle w:val="ParagrapheIndent2"/>
        <w:spacing w:after="240" w:line="241" w:lineRule="exact"/>
        <w:jc w:val="both"/>
        <w:rPr>
          <w:b/>
          <w:color w:val="000000"/>
          <w:lang w:val="fr-FR"/>
        </w:rPr>
      </w:pPr>
      <w:r>
        <w:rPr>
          <w:b/>
          <w:color w:val="000000"/>
          <w:lang w:val="fr-FR"/>
        </w:rPr>
        <w:br w:type="page"/>
      </w:r>
    </w:p>
    <w:p w14:paraId="660CDFD8" w14:textId="77777777" w:rsidR="003A4209" w:rsidRDefault="009B24AF">
      <w:pPr>
        <w:pStyle w:val="ParagrapheIndent2"/>
        <w:spacing w:after="240"/>
        <w:jc w:val="both"/>
        <w:rPr>
          <w:color w:val="000000"/>
          <w:lang w:val="fr-FR"/>
        </w:rPr>
      </w:pPr>
      <w:r>
        <w:rPr>
          <w:color w:val="000000"/>
          <w:lang w:val="fr-FR"/>
        </w:rPr>
        <w:t xml:space="preserve">Les </w:t>
      </w:r>
      <w:r>
        <w:rPr>
          <w:color w:val="000000"/>
          <w:lang w:val="fr-FR"/>
        </w:rPr>
        <w:t>frais d'accès au réseau et de recours à la signature électronique sont à la charge des candidats.</w:t>
      </w:r>
    </w:p>
    <w:p w14:paraId="16F44606" w14:textId="77777777" w:rsidR="003A4209" w:rsidRDefault="009B24AF">
      <w:pPr>
        <w:pStyle w:val="ParagrapheIndent2"/>
        <w:spacing w:line="241" w:lineRule="exact"/>
        <w:jc w:val="both"/>
        <w:rPr>
          <w:color w:val="000000"/>
          <w:lang w:val="fr-FR"/>
        </w:rPr>
      </w:pPr>
      <w:r>
        <w:rPr>
          <w:color w:val="000000"/>
          <w:lang w:val="fr-FR"/>
        </w:rPr>
        <w:t>Le candidat est invité à créer son "Espace entreprise" sur la plateforme AWS-Entreprise (https://www.marches-publics.info/fournisseurs.htm). Sur cette platefo</w:t>
      </w:r>
      <w:r>
        <w:rPr>
          <w:color w:val="000000"/>
          <w:lang w:val="fr-FR"/>
        </w:rPr>
        <w:t>rme, le candidat pourra retrouver l'ensemble de ses retraits de dossier de consultation. L'inscription est un préalable obligatoire pour correspondre avec l'acheteur lors de chaque consultation (Questions/Réponses, Dépôt de candidatures et offres. . .). El</w:t>
      </w:r>
      <w:r>
        <w:rPr>
          <w:color w:val="000000"/>
          <w:lang w:val="fr-FR"/>
        </w:rPr>
        <w:t>le permet également de bénéficier d'un service d'alertes sur les consultations (précisions, modifications, report de délais...).</w:t>
      </w:r>
    </w:p>
    <w:p w14:paraId="342F24E1" w14:textId="77777777" w:rsidR="003A4209" w:rsidRDefault="003A4209">
      <w:pPr>
        <w:pStyle w:val="ParagrapheIndent2"/>
        <w:spacing w:line="241" w:lineRule="exact"/>
        <w:jc w:val="both"/>
        <w:rPr>
          <w:color w:val="000000"/>
          <w:lang w:val="fr-FR"/>
        </w:rPr>
      </w:pPr>
    </w:p>
    <w:p w14:paraId="0FA69745" w14:textId="77777777" w:rsidR="003A4209" w:rsidRDefault="009B24AF">
      <w:pPr>
        <w:pStyle w:val="ParagrapheIndent2"/>
        <w:spacing w:line="241" w:lineRule="exact"/>
        <w:jc w:val="both"/>
        <w:rPr>
          <w:color w:val="000000"/>
          <w:lang w:val="fr-FR"/>
        </w:rPr>
      </w:pPr>
      <w:r>
        <w:rPr>
          <w:color w:val="000000"/>
          <w:lang w:val="fr-FR"/>
        </w:rPr>
        <w:t>Par conséquent, il est recommandé d'indiquer une adresse mail durable pendant toute la durée de la procédure, en priorité l'ad</w:t>
      </w:r>
      <w:r>
        <w:rPr>
          <w:color w:val="000000"/>
          <w:lang w:val="fr-FR"/>
        </w:rPr>
        <w:t>resse de l'interlocuteur principal du candidat, ainsi que la ou les adresses de remplacement en cas d'absence de ce dernier. Le candidat ne pourra porter aucune réclamation s'il ne bénéficie pas de toutes les informations complémentaires diffusées par la p</w:t>
      </w:r>
      <w:r>
        <w:rPr>
          <w:color w:val="000000"/>
          <w:lang w:val="fr-FR"/>
        </w:rPr>
        <w:t>lateforme lors du déroulement de la consultation, en raison d'une erreur qu'il aurait faite dans la saisie de son adresse, ou en cas de suppression de ladite adresse.</w:t>
      </w:r>
    </w:p>
    <w:p w14:paraId="0505E925" w14:textId="77777777" w:rsidR="003A4209" w:rsidRDefault="003A4209">
      <w:pPr>
        <w:pStyle w:val="ParagrapheIndent2"/>
        <w:spacing w:line="241" w:lineRule="exact"/>
        <w:jc w:val="both"/>
        <w:rPr>
          <w:color w:val="000000"/>
          <w:lang w:val="fr-FR"/>
        </w:rPr>
      </w:pPr>
    </w:p>
    <w:p w14:paraId="4ECDD0F6" w14:textId="77777777" w:rsidR="003A4209" w:rsidRDefault="009B24AF">
      <w:pPr>
        <w:pStyle w:val="ParagrapheIndent2"/>
        <w:spacing w:line="241" w:lineRule="exact"/>
        <w:jc w:val="both"/>
        <w:rPr>
          <w:color w:val="000000"/>
          <w:lang w:val="fr-FR"/>
        </w:rPr>
      </w:pPr>
      <w:r>
        <w:rPr>
          <w:color w:val="000000"/>
          <w:lang w:val="fr-FR"/>
        </w:rPr>
        <w:t xml:space="preserve">Un service de dépôt "Attestation" permet au candidat de déposer en ligne son RIB, son </w:t>
      </w:r>
      <w:r>
        <w:rPr>
          <w:color w:val="000000"/>
          <w:lang w:val="fr-FR"/>
        </w:rPr>
        <w:t>KBIS, ses attestations d'assurance, sa liste nominative des travailleurs étrangers, son attestation de régularité fiscale et son attestation semestrielle sociale dans un coffre-fort sécurisé. L'ensemble des acheteurs utilisateurs de la plateforme auront ac</w:t>
      </w:r>
      <w:r>
        <w:rPr>
          <w:color w:val="000000"/>
          <w:lang w:val="fr-FR"/>
        </w:rPr>
        <w:t>cès à ces informations.</w:t>
      </w:r>
    </w:p>
    <w:p w14:paraId="48D640C3" w14:textId="77777777" w:rsidR="003A4209" w:rsidRDefault="003A4209">
      <w:pPr>
        <w:pStyle w:val="ParagrapheIndent2"/>
        <w:spacing w:line="241" w:lineRule="exact"/>
        <w:jc w:val="both"/>
        <w:rPr>
          <w:color w:val="000000"/>
          <w:lang w:val="fr-FR"/>
        </w:rPr>
      </w:pPr>
    </w:p>
    <w:p w14:paraId="5E7F590C" w14:textId="77777777" w:rsidR="003A4209" w:rsidRDefault="009B24AF">
      <w:pPr>
        <w:pStyle w:val="ParagrapheIndent2"/>
        <w:spacing w:line="241" w:lineRule="exact"/>
        <w:jc w:val="both"/>
        <w:rPr>
          <w:color w:val="000000"/>
          <w:lang w:val="fr-FR"/>
        </w:rPr>
      </w:pPr>
      <w:r>
        <w:rPr>
          <w:color w:val="000000"/>
          <w:lang w:val="fr-FR"/>
        </w:rPr>
        <w:t>L'ensemble de ces services est fourni gratuitement au candidat.</w:t>
      </w:r>
    </w:p>
    <w:p w14:paraId="568803E4" w14:textId="77777777" w:rsidR="003A4209" w:rsidRDefault="003A4209">
      <w:pPr>
        <w:pStyle w:val="ParagrapheIndent2"/>
        <w:spacing w:line="241" w:lineRule="exact"/>
        <w:jc w:val="both"/>
        <w:rPr>
          <w:color w:val="000000"/>
          <w:lang w:val="fr-FR"/>
        </w:rPr>
      </w:pPr>
    </w:p>
    <w:p w14:paraId="3B0A1633" w14:textId="77777777" w:rsidR="003A4209" w:rsidRDefault="009B24AF">
      <w:pPr>
        <w:pStyle w:val="ParagrapheIndent2"/>
        <w:spacing w:after="240" w:line="241" w:lineRule="exact"/>
        <w:jc w:val="both"/>
        <w:rPr>
          <w:b/>
          <w:color w:val="000000"/>
          <w:u w:val="single"/>
          <w:lang w:val="fr-FR"/>
        </w:rPr>
      </w:pPr>
      <w:r>
        <w:rPr>
          <w:b/>
          <w:color w:val="000000"/>
          <w:u w:val="single"/>
          <w:lang w:val="fr-FR"/>
        </w:rPr>
        <w:t>Attention, la date et l'heure limites de dépôt s'entendent de manière stricte, aucun dépassement, même minime, n'est autorisé.</w:t>
      </w:r>
    </w:p>
    <w:p w14:paraId="0D026A3D" w14:textId="77777777" w:rsidR="003A4209" w:rsidRDefault="009B24AF">
      <w:pPr>
        <w:pStyle w:val="Titre2"/>
        <w:ind w:left="280"/>
        <w:jc w:val="both"/>
        <w:rPr>
          <w:rFonts w:ascii="Tahoma" w:eastAsia="Tahoma" w:hAnsi="Tahoma" w:cs="Tahoma"/>
          <w:i w:val="0"/>
          <w:color w:val="000000"/>
          <w:sz w:val="24"/>
          <w:lang w:val="fr-FR"/>
        </w:rPr>
      </w:pPr>
      <w:bookmarkStart w:id="42" w:name="ArtL2_RC-2-A8.5"/>
      <w:bookmarkStart w:id="43" w:name="_Toc256000021"/>
      <w:bookmarkEnd w:id="42"/>
      <w:r>
        <w:rPr>
          <w:rFonts w:ascii="Tahoma" w:eastAsia="Tahoma" w:hAnsi="Tahoma" w:cs="Tahoma"/>
          <w:i w:val="0"/>
          <w:color w:val="000000"/>
          <w:sz w:val="24"/>
          <w:lang w:val="fr-FR"/>
        </w:rPr>
        <w:t>6.2 - Transmission sous support papier</w:t>
      </w:r>
      <w:bookmarkEnd w:id="43"/>
    </w:p>
    <w:p w14:paraId="30B2531E" w14:textId="77777777" w:rsidR="003A4209" w:rsidRDefault="009B24AF">
      <w:pPr>
        <w:pStyle w:val="ParagrapheIndent2"/>
        <w:spacing w:after="240" w:line="241" w:lineRule="exact"/>
        <w:jc w:val="both"/>
        <w:rPr>
          <w:color w:val="000000"/>
          <w:lang w:val="fr-FR"/>
        </w:rPr>
      </w:pPr>
      <w:r>
        <w:rPr>
          <w:color w:val="000000"/>
          <w:lang w:val="fr-FR"/>
        </w:rPr>
        <w:t xml:space="preserve"> La transmission des plis par voie électronique est imposée pour cette consultation. Par conséquent, la transmission par voie papier n'est pas autorisée.</w:t>
      </w:r>
    </w:p>
    <w:p w14:paraId="442B7F23" w14:textId="77777777" w:rsidR="003A4209" w:rsidRDefault="009B24AF">
      <w:pPr>
        <w:pStyle w:val="Titre1"/>
        <w:rPr>
          <w:rFonts w:ascii="Tahoma" w:eastAsia="Tahoma" w:hAnsi="Tahoma" w:cs="Tahoma"/>
          <w:color w:val="000000"/>
          <w:sz w:val="28"/>
          <w:lang w:val="fr-FR"/>
        </w:rPr>
      </w:pPr>
      <w:bookmarkStart w:id="44" w:name="ArtL1_RC-2-A10"/>
      <w:bookmarkStart w:id="45" w:name="_Toc256000022"/>
      <w:bookmarkEnd w:id="44"/>
      <w:r>
        <w:rPr>
          <w:rFonts w:ascii="Tahoma" w:eastAsia="Tahoma" w:hAnsi="Tahoma" w:cs="Tahoma"/>
          <w:color w:val="000000"/>
          <w:sz w:val="28"/>
          <w:lang w:val="fr-FR"/>
        </w:rPr>
        <w:t>7 - Examen des candidatures et des offres</w:t>
      </w:r>
      <w:bookmarkEnd w:id="45"/>
    </w:p>
    <w:p w14:paraId="53B9485E" w14:textId="77777777" w:rsidR="003A4209" w:rsidRDefault="009B24AF">
      <w:pPr>
        <w:pStyle w:val="Titre2"/>
        <w:ind w:left="280"/>
        <w:jc w:val="both"/>
        <w:rPr>
          <w:rFonts w:ascii="Tahoma" w:eastAsia="Tahoma" w:hAnsi="Tahoma" w:cs="Tahoma"/>
          <w:i w:val="0"/>
          <w:color w:val="000000"/>
          <w:sz w:val="24"/>
          <w:lang w:val="fr-FR"/>
        </w:rPr>
      </w:pPr>
      <w:bookmarkStart w:id="46" w:name="ArtL2_RC-2-A10.1"/>
      <w:bookmarkStart w:id="47" w:name="_Toc256000023"/>
      <w:bookmarkEnd w:id="46"/>
      <w:r>
        <w:rPr>
          <w:rFonts w:ascii="Tahoma" w:eastAsia="Tahoma" w:hAnsi="Tahoma" w:cs="Tahoma"/>
          <w:i w:val="0"/>
          <w:color w:val="000000"/>
          <w:sz w:val="24"/>
          <w:lang w:val="fr-FR"/>
        </w:rPr>
        <w:t>7.1 - Sélection des candidatures</w:t>
      </w:r>
      <w:bookmarkEnd w:id="47"/>
    </w:p>
    <w:p w14:paraId="061A1226" w14:textId="77777777" w:rsidR="003A4209" w:rsidRDefault="009B24AF">
      <w:pPr>
        <w:pStyle w:val="ParagrapheIndent2"/>
        <w:spacing w:after="240" w:line="241" w:lineRule="exact"/>
        <w:jc w:val="both"/>
        <w:rPr>
          <w:color w:val="000000"/>
          <w:lang w:val="fr-FR"/>
        </w:rPr>
      </w:pPr>
      <w:r>
        <w:rPr>
          <w:color w:val="000000"/>
          <w:lang w:val="fr-FR"/>
        </w:rPr>
        <w:t xml:space="preserve">Avant de procéder à </w:t>
      </w:r>
      <w:r>
        <w:rPr>
          <w:color w:val="000000"/>
          <w:lang w:val="fr-FR"/>
        </w:rPr>
        <w:t>l'examen des candidatures, s'il apparaît que des pièces du dossier de candidature sont manquantes ou incomplètes, le pouvoir adjudicateur peut décider de demander à tous les candidats concernés de produire ou compléter ces pièces dans un délai maximum de 5</w:t>
      </w:r>
      <w:r>
        <w:rPr>
          <w:color w:val="000000"/>
          <w:lang w:val="fr-FR"/>
        </w:rPr>
        <w:t xml:space="preserve"> jours.</w:t>
      </w:r>
    </w:p>
    <w:p w14:paraId="3136E0AC" w14:textId="77777777" w:rsidR="003A4209" w:rsidRDefault="009B24AF">
      <w:pPr>
        <w:pStyle w:val="ParagrapheIndent2"/>
        <w:spacing w:after="240" w:line="241"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w:t>
      </w:r>
      <w:r>
        <w:rPr>
          <w:color w:val="000000"/>
          <w:lang w:val="fr-FR"/>
        </w:rPr>
        <w:t>nancières.</w:t>
      </w:r>
    </w:p>
    <w:p w14:paraId="2155E80D" w14:textId="77777777" w:rsidR="003A4209" w:rsidRDefault="009B24AF">
      <w:pPr>
        <w:pStyle w:val="Titre2"/>
        <w:ind w:left="280"/>
        <w:jc w:val="both"/>
        <w:rPr>
          <w:rFonts w:ascii="Tahoma" w:eastAsia="Tahoma" w:hAnsi="Tahoma" w:cs="Tahoma"/>
          <w:i w:val="0"/>
          <w:color w:val="000000"/>
          <w:sz w:val="24"/>
          <w:lang w:val="fr-FR"/>
        </w:rPr>
      </w:pPr>
      <w:bookmarkStart w:id="48" w:name="ArtL2_RC-2-A10.3"/>
      <w:bookmarkStart w:id="49" w:name="_Toc256000024"/>
      <w:bookmarkEnd w:id="48"/>
      <w:r>
        <w:rPr>
          <w:rFonts w:ascii="Tahoma" w:eastAsia="Tahoma" w:hAnsi="Tahoma" w:cs="Tahoma"/>
          <w:i w:val="0"/>
          <w:color w:val="000000"/>
          <w:sz w:val="24"/>
          <w:lang w:val="fr-FR"/>
        </w:rPr>
        <w:t>7.2 - Attribution des accords-cadres</w:t>
      </w:r>
      <w:bookmarkEnd w:id="49"/>
    </w:p>
    <w:p w14:paraId="77B3EBB9" w14:textId="77777777" w:rsidR="003A4209" w:rsidRDefault="009B24AF">
      <w:pPr>
        <w:pStyle w:val="ParagrapheIndent2"/>
        <w:spacing w:line="241"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4C671077" w14:textId="77777777" w:rsidR="003A4209" w:rsidRDefault="003A4209">
      <w:pPr>
        <w:pStyle w:val="ParagrapheIndent2"/>
        <w:spacing w:line="241" w:lineRule="exact"/>
        <w:jc w:val="both"/>
        <w:rPr>
          <w:color w:val="000000"/>
          <w:lang w:val="fr-FR"/>
        </w:rPr>
      </w:pPr>
    </w:p>
    <w:p w14:paraId="28EF939A" w14:textId="77777777" w:rsidR="003A4209" w:rsidRDefault="009B24AF">
      <w:pPr>
        <w:pStyle w:val="ParagrapheIndent2"/>
        <w:spacing w:line="241" w:lineRule="exact"/>
        <w:jc w:val="both"/>
        <w:rPr>
          <w:color w:val="000000"/>
          <w:lang w:val="fr-FR"/>
        </w:rPr>
      </w:pPr>
      <w:r>
        <w:rPr>
          <w:color w:val="000000"/>
          <w:lang w:val="fr-FR"/>
        </w:rPr>
        <w:t>L'attenti</w:t>
      </w:r>
      <w:r>
        <w:rPr>
          <w:color w:val="000000"/>
          <w:lang w:val="fr-FR"/>
        </w:rPr>
        <w:t>on des candidats est attirée sur le fait que toute offre irrégulière ou inacceptable pourra être régularisée. En revanche, toute offre inappropriée sera éliminée.</w:t>
      </w:r>
    </w:p>
    <w:p w14:paraId="09FE43C7" w14:textId="77777777" w:rsidR="003A4209" w:rsidRDefault="003A4209">
      <w:pPr>
        <w:pStyle w:val="ParagrapheIndent2"/>
        <w:spacing w:line="241" w:lineRule="exact"/>
        <w:jc w:val="both"/>
        <w:rPr>
          <w:color w:val="000000"/>
          <w:lang w:val="fr-FR"/>
        </w:rPr>
      </w:pPr>
    </w:p>
    <w:p w14:paraId="1B61CDA6" w14:textId="606CCACF" w:rsidR="009B24AF" w:rsidRDefault="009B24AF">
      <w:pPr>
        <w:pStyle w:val="ParagrapheIndent2"/>
        <w:spacing w:after="240"/>
        <w:jc w:val="both"/>
        <w:rPr>
          <w:color w:val="000000"/>
          <w:lang w:val="fr-FR"/>
        </w:rPr>
      </w:pPr>
      <w:r>
        <w:rPr>
          <w:color w:val="000000"/>
          <w:lang w:val="fr-FR"/>
        </w:rPr>
        <w:t>La régularisation d'une offre pourra avoir lieu à condition que l'offre ne soit pas anormalement basse.</w:t>
      </w:r>
    </w:p>
    <w:p w14:paraId="55BD7636" w14:textId="77777777" w:rsidR="003A4209" w:rsidRDefault="009B24AF">
      <w:pPr>
        <w:pStyle w:val="ParagrapheIndent2"/>
        <w:spacing w:after="240"/>
        <w:jc w:val="both"/>
        <w:rPr>
          <w:color w:val="000000"/>
          <w:lang w:val="fr-FR"/>
        </w:rPr>
      </w:pPr>
      <w:r>
        <w:rPr>
          <w:color w:val="000000"/>
          <w:lang w:val="fr-FR"/>
        </w:rPr>
        <w:br w:type="page"/>
      </w:r>
    </w:p>
    <w:p w14:paraId="121B2CC7" w14:textId="77777777" w:rsidR="003A4209" w:rsidRDefault="009B24AF">
      <w:pPr>
        <w:pStyle w:val="ParagrapheIndent2"/>
        <w:jc w:val="both"/>
        <w:rPr>
          <w:color w:val="000000"/>
          <w:lang w:val="fr-FR"/>
        </w:rPr>
      </w:pPr>
      <w:r>
        <w:rPr>
          <w:color w:val="000000"/>
          <w:lang w:val="fr-FR"/>
        </w:rPr>
        <w:t>Les critères retenus pour le jugement des offres sont pondérés de la manière suivante :</w:t>
      </w:r>
    </w:p>
    <w:tbl>
      <w:tblPr>
        <w:tblW w:w="0" w:type="auto"/>
        <w:tblLayout w:type="fixed"/>
        <w:tblLook w:val="04A0" w:firstRow="1" w:lastRow="0" w:firstColumn="1" w:lastColumn="0" w:noHBand="0" w:noVBand="1"/>
      </w:tblPr>
      <w:tblGrid>
        <w:gridCol w:w="7800"/>
        <w:gridCol w:w="1800"/>
      </w:tblGrid>
      <w:tr w:rsidR="003A4209" w14:paraId="3BD28217"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7918F1B" w14:textId="77777777" w:rsidR="003A4209" w:rsidRDefault="009B24AF">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62BDD37" w14:textId="77777777" w:rsidR="003A4209" w:rsidRDefault="009B24AF">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Pondération</w:t>
            </w:r>
          </w:p>
        </w:tc>
      </w:tr>
      <w:tr w:rsidR="003A4209" w14:paraId="3A5E49B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D5708B" w14:textId="77777777" w:rsidR="003A4209" w:rsidRDefault="009B24AF">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4B4336" w14:textId="77777777" w:rsidR="003A4209" w:rsidRDefault="009B24AF">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45.0 %</w:t>
            </w:r>
          </w:p>
        </w:tc>
      </w:tr>
      <w:tr w:rsidR="003A4209" w14:paraId="0F20615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3F5FFA" w14:textId="77777777" w:rsidR="003A4209" w:rsidRDefault="009B24AF">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2-Valeur technique au vu du cadre de réponse et du dossier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51D9E0" w14:textId="77777777" w:rsidR="003A4209" w:rsidRDefault="009B24AF">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45.0 %</w:t>
            </w:r>
          </w:p>
        </w:tc>
      </w:tr>
      <w:tr w:rsidR="003A4209" w14:paraId="7557582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42D690" w14:textId="77777777" w:rsidR="003A4209" w:rsidRDefault="009B24AF">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3-Valeur environnementale au vu du cadre de réponse afférent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2E4699" w14:textId="77777777" w:rsidR="003A4209" w:rsidRDefault="009B24AF">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10.0 %</w:t>
            </w:r>
          </w:p>
        </w:tc>
      </w:tr>
    </w:tbl>
    <w:p w14:paraId="32DF05E6" w14:textId="77777777" w:rsidR="003A4209" w:rsidRDefault="009B24AF">
      <w:pPr>
        <w:spacing w:after="240" w:line="100" w:lineRule="exact"/>
        <w:rPr>
          <w:sz w:val="10"/>
        </w:rPr>
      </w:pPr>
      <w:r>
        <w:t xml:space="preserve"> </w:t>
      </w:r>
    </w:p>
    <w:p w14:paraId="30F22817" w14:textId="77777777" w:rsidR="003A4209" w:rsidRDefault="009B24AF">
      <w:pPr>
        <w:pStyle w:val="ParagrapheIndent2"/>
        <w:spacing w:after="240" w:line="241" w:lineRule="exact"/>
        <w:jc w:val="both"/>
        <w:rPr>
          <w:color w:val="000000"/>
          <w:lang w:val="fr-FR"/>
        </w:rPr>
      </w:pPr>
      <w:r>
        <w:rPr>
          <w:color w:val="000000"/>
          <w:lang w:val="fr-FR"/>
        </w:rPr>
        <w:t xml:space="preserve">Dans le cas où des erreurs purement matérielles (de multiplication, d'addition ou de report) </w:t>
      </w:r>
      <w:r>
        <w:rPr>
          <w:color w:val="000000"/>
          <w:lang w:val="fr-FR"/>
        </w:rPr>
        <w:t xml:space="preserve">seraient constatées entre les indications portées sur le bordereau des prix unitaires et le détail quantitatif estimatif, le bordereau des prix prévaudra et le montant du détail quantitatif estimatif sera rectifié en conséquence. L'entreprise sera invitée </w:t>
      </w:r>
      <w:r>
        <w:rPr>
          <w:color w:val="000000"/>
          <w:lang w:val="fr-FR"/>
        </w:rPr>
        <w:t>à confirmer l'offre ainsi rectifiée ; en cas de refus, son offre sera éliminée comme non cohérente.</w:t>
      </w:r>
    </w:p>
    <w:p w14:paraId="54F8C489" w14:textId="77777777" w:rsidR="003A4209" w:rsidRDefault="009B24AF">
      <w:pPr>
        <w:pStyle w:val="Titre2"/>
        <w:ind w:left="280"/>
        <w:jc w:val="both"/>
        <w:rPr>
          <w:rFonts w:ascii="Tahoma" w:eastAsia="Tahoma" w:hAnsi="Tahoma" w:cs="Tahoma"/>
          <w:i w:val="0"/>
          <w:color w:val="000000"/>
          <w:sz w:val="24"/>
          <w:lang w:val="fr-FR"/>
        </w:rPr>
      </w:pPr>
      <w:bookmarkStart w:id="50" w:name="ArtL2_RC-2-A10.4"/>
      <w:bookmarkStart w:id="51" w:name="_Toc256000025"/>
      <w:bookmarkEnd w:id="50"/>
      <w:r>
        <w:rPr>
          <w:rFonts w:ascii="Tahoma" w:eastAsia="Tahoma" w:hAnsi="Tahoma" w:cs="Tahoma"/>
          <w:i w:val="0"/>
          <w:color w:val="000000"/>
          <w:sz w:val="24"/>
          <w:lang w:val="fr-FR"/>
        </w:rPr>
        <w:t>7.3 - Suite à donner à la consultation</w:t>
      </w:r>
      <w:bookmarkEnd w:id="51"/>
    </w:p>
    <w:p w14:paraId="66988EDD" w14:textId="77777777" w:rsidR="003A4209" w:rsidRDefault="009B24AF">
      <w:pPr>
        <w:pStyle w:val="ParagrapheIndent2"/>
        <w:spacing w:line="241" w:lineRule="exact"/>
        <w:jc w:val="both"/>
        <w:rPr>
          <w:color w:val="000000"/>
          <w:lang w:val="fr-FR"/>
        </w:rPr>
      </w:pPr>
      <w:r>
        <w:rPr>
          <w:color w:val="000000"/>
          <w:lang w:val="fr-FR"/>
        </w:rPr>
        <w:t>Après une première analyse des offres, l'acheteur classera l’ensemble des offres par ordre décroissant selon les crit</w:t>
      </w:r>
      <w:r>
        <w:rPr>
          <w:color w:val="000000"/>
          <w:lang w:val="fr-FR"/>
        </w:rPr>
        <w:t>ères d’attribution énoncés ci-dessus. Seuls les trois candidats arrivés en tête de ce classement seront invités à prendre part à une éventuelle négociation. La négociation pourra porter sur tous les éléments de l'offre ou sur certains de ses éléments. Elle</w:t>
      </w:r>
      <w:r>
        <w:rPr>
          <w:color w:val="000000"/>
          <w:lang w:val="fr-FR"/>
        </w:rPr>
        <w:t xml:space="preserve"> pourra se dérouler en plusieurs phases, par écrit, par visioconférence, par téléphone ou lors d'un entretien à la Communauté d'agglomération. Dès lors que ne sont pas remises en cause de manière substantielle les conditions de la mise en concurrence initi</w:t>
      </w:r>
      <w:r>
        <w:rPr>
          <w:color w:val="000000"/>
          <w:lang w:val="fr-FR"/>
        </w:rPr>
        <w:t>ale, l'acheteur pourra faire évoluer au cours des négociations certaines dispositions du CCAP, notamment sur l’augmentation de l’avance et les modalités de garantie financière qui y sont liées.</w:t>
      </w:r>
    </w:p>
    <w:p w14:paraId="05AD9EFD" w14:textId="77777777" w:rsidR="003A4209" w:rsidRDefault="009B24AF">
      <w:pPr>
        <w:pStyle w:val="ParagrapheIndent2"/>
        <w:spacing w:line="241" w:lineRule="exact"/>
        <w:jc w:val="both"/>
        <w:rPr>
          <w:color w:val="000000"/>
          <w:lang w:val="fr-FR"/>
        </w:rPr>
      </w:pPr>
      <w:r>
        <w:rPr>
          <w:color w:val="000000"/>
          <w:lang w:val="fr-FR"/>
        </w:rPr>
        <w:t> </w:t>
      </w:r>
    </w:p>
    <w:p w14:paraId="70B8F632" w14:textId="77777777" w:rsidR="003A4209" w:rsidRDefault="009B24AF">
      <w:pPr>
        <w:pStyle w:val="ParagrapheIndent2"/>
        <w:spacing w:line="241" w:lineRule="exact"/>
        <w:jc w:val="both"/>
        <w:rPr>
          <w:color w:val="000000"/>
          <w:lang w:val="fr-FR"/>
        </w:rPr>
      </w:pPr>
      <w:r>
        <w:rPr>
          <w:color w:val="000000"/>
          <w:lang w:val="fr-FR"/>
        </w:rPr>
        <w:t xml:space="preserve">A l’issue de cette négociation, un classement sera </w:t>
      </w:r>
      <w:r>
        <w:rPr>
          <w:color w:val="000000"/>
          <w:lang w:val="fr-FR"/>
        </w:rPr>
        <w:t>établi entre les offres négociées.</w:t>
      </w:r>
    </w:p>
    <w:p w14:paraId="02C9D567" w14:textId="77777777" w:rsidR="003A4209" w:rsidRDefault="009B24AF">
      <w:pPr>
        <w:pStyle w:val="ParagrapheIndent2"/>
        <w:spacing w:line="241" w:lineRule="exact"/>
        <w:jc w:val="both"/>
        <w:rPr>
          <w:color w:val="000000"/>
          <w:lang w:val="fr-FR"/>
        </w:rPr>
      </w:pPr>
      <w:r>
        <w:rPr>
          <w:color w:val="000000"/>
          <w:lang w:val="fr-FR"/>
        </w:rPr>
        <w:t> </w:t>
      </w:r>
    </w:p>
    <w:p w14:paraId="140C8000" w14:textId="77777777" w:rsidR="003A4209" w:rsidRDefault="009B24AF">
      <w:pPr>
        <w:pStyle w:val="ParagrapheIndent2"/>
        <w:spacing w:line="241" w:lineRule="exact"/>
        <w:jc w:val="both"/>
        <w:rPr>
          <w:color w:val="000000"/>
          <w:lang w:val="fr-FR"/>
        </w:rPr>
      </w:pPr>
      <w:r>
        <w:rPr>
          <w:color w:val="000000"/>
          <w:lang w:val="fr-FR"/>
        </w:rPr>
        <w:t>Il est précisé que l'acheteur se réserve la possibilité de ne pas engager de négociations et d'attribuer le marché public sur la base du classement établi à l’issue de l’examen des offres initiales. </w:t>
      </w:r>
    </w:p>
    <w:p w14:paraId="3E974097" w14:textId="77777777" w:rsidR="003A4209" w:rsidRDefault="009B24AF">
      <w:pPr>
        <w:pStyle w:val="ParagrapheIndent2"/>
        <w:spacing w:line="241" w:lineRule="exact"/>
        <w:jc w:val="both"/>
        <w:rPr>
          <w:color w:val="000000"/>
          <w:lang w:val="fr-FR"/>
        </w:rPr>
      </w:pPr>
      <w:r>
        <w:rPr>
          <w:color w:val="000000"/>
          <w:lang w:val="fr-FR"/>
        </w:rPr>
        <w:t> </w:t>
      </w:r>
    </w:p>
    <w:p w14:paraId="4B95C15D" w14:textId="77777777" w:rsidR="003A4209" w:rsidRDefault="009B24AF">
      <w:pPr>
        <w:pStyle w:val="ParagrapheIndent2"/>
        <w:spacing w:line="241" w:lineRule="exact"/>
        <w:jc w:val="both"/>
        <w:rPr>
          <w:color w:val="000000"/>
          <w:lang w:val="fr-FR"/>
        </w:rPr>
      </w:pPr>
      <w:r>
        <w:rPr>
          <w:color w:val="000000"/>
          <w:lang w:val="fr-FR"/>
        </w:rPr>
        <w:t xml:space="preserve">En </w:t>
      </w:r>
      <w:r>
        <w:rPr>
          <w:color w:val="000000"/>
          <w:lang w:val="fr-FR"/>
        </w:rPr>
        <w:t>l'absence de négociation, l'offre arrivée en tête du classement de l'ensemble des offres sera donc retenue à titre provisoire en attendant que le ou les candidats concerné(s) produisent les certificats et attestations prévus aux articles R. 2143-6 à R. 214</w:t>
      </w:r>
      <w:r>
        <w:rPr>
          <w:color w:val="000000"/>
          <w:lang w:val="fr-FR"/>
        </w:rPr>
        <w:t>3-10 du Code de la commande publique. Le délai imparti par l'acheteur pour remettre ces documents ne pourra être supérieur à 7 jours.</w:t>
      </w:r>
    </w:p>
    <w:p w14:paraId="4B27E4D3" w14:textId="77777777" w:rsidR="003A4209" w:rsidRDefault="009B24AF">
      <w:pPr>
        <w:pStyle w:val="ParagrapheIndent2"/>
        <w:spacing w:line="241" w:lineRule="exact"/>
        <w:jc w:val="both"/>
        <w:rPr>
          <w:color w:val="000000"/>
          <w:lang w:val="fr-FR"/>
        </w:rPr>
      </w:pPr>
      <w:r>
        <w:rPr>
          <w:color w:val="000000"/>
          <w:lang w:val="fr-FR"/>
        </w:rPr>
        <w:t> </w:t>
      </w:r>
    </w:p>
    <w:p w14:paraId="54825CE6" w14:textId="77777777" w:rsidR="003A4209" w:rsidRDefault="009B24AF">
      <w:pPr>
        <w:pStyle w:val="ParagrapheIndent2"/>
        <w:spacing w:line="241" w:lineRule="exact"/>
        <w:jc w:val="both"/>
        <w:rPr>
          <w:color w:val="000000"/>
          <w:lang w:val="fr-FR"/>
        </w:rPr>
      </w:pPr>
      <w:r>
        <w:rPr>
          <w:color w:val="000000"/>
          <w:lang w:val="fr-FR"/>
        </w:rPr>
        <w:t>En cas de négociation, l'offre la mieux classée parmi les offres admises à la négociation sera donc retenue à titre prov</w:t>
      </w:r>
      <w:r>
        <w:rPr>
          <w:color w:val="000000"/>
          <w:lang w:val="fr-FR"/>
        </w:rPr>
        <w:t>isoire en attendant que le ou les candidats concerné(s) produisent les certificats et attestations prévus aux articles R. 2143-6 à R. 2143-10 du Code de la commande publique. Le délai imparti par l'acheteur pour remettre ces documents ne pourra être supéri</w:t>
      </w:r>
      <w:r>
        <w:rPr>
          <w:color w:val="000000"/>
          <w:lang w:val="fr-FR"/>
        </w:rPr>
        <w:t>eur à 7 jours.</w:t>
      </w:r>
    </w:p>
    <w:p w14:paraId="2832D320" w14:textId="77777777" w:rsidR="003A4209" w:rsidRDefault="009B24AF">
      <w:pPr>
        <w:pStyle w:val="ParagrapheIndent2"/>
        <w:spacing w:after="240" w:line="241" w:lineRule="exact"/>
        <w:jc w:val="both"/>
        <w:rPr>
          <w:color w:val="000000"/>
          <w:lang w:val="fr-FR"/>
        </w:rPr>
      </w:pPr>
      <w:r>
        <w:rPr>
          <w:color w:val="000000"/>
          <w:lang w:val="fr-FR"/>
        </w:rPr>
        <w:t> </w:t>
      </w:r>
    </w:p>
    <w:p w14:paraId="40DA37DC" w14:textId="77777777" w:rsidR="003A4209" w:rsidRDefault="009B24AF">
      <w:pPr>
        <w:pStyle w:val="Titre1"/>
        <w:rPr>
          <w:rFonts w:ascii="Tahoma" w:eastAsia="Tahoma" w:hAnsi="Tahoma" w:cs="Tahoma"/>
          <w:color w:val="000000"/>
          <w:sz w:val="28"/>
          <w:lang w:val="fr-FR"/>
        </w:rPr>
      </w:pPr>
      <w:bookmarkStart w:id="52" w:name="ArtL1_RC-2-A14"/>
      <w:bookmarkStart w:id="53" w:name="_Toc256000026"/>
      <w:bookmarkEnd w:id="52"/>
      <w:r>
        <w:rPr>
          <w:rFonts w:ascii="Tahoma" w:eastAsia="Tahoma" w:hAnsi="Tahoma" w:cs="Tahoma"/>
          <w:color w:val="000000"/>
          <w:sz w:val="28"/>
          <w:lang w:val="fr-FR"/>
        </w:rPr>
        <w:t>8 - Renseignements complémentaires</w:t>
      </w:r>
      <w:bookmarkEnd w:id="53"/>
    </w:p>
    <w:p w14:paraId="0E9DC678" w14:textId="77777777" w:rsidR="003A4209" w:rsidRDefault="009B24AF">
      <w:pPr>
        <w:pStyle w:val="Titre2"/>
        <w:ind w:left="280"/>
        <w:jc w:val="both"/>
        <w:rPr>
          <w:rFonts w:ascii="Tahoma" w:eastAsia="Tahoma" w:hAnsi="Tahoma" w:cs="Tahoma"/>
          <w:i w:val="0"/>
          <w:color w:val="000000"/>
          <w:sz w:val="24"/>
          <w:lang w:val="fr-FR"/>
        </w:rPr>
      </w:pPr>
      <w:bookmarkStart w:id="54" w:name="ArtL2_RC-2-A14.1"/>
      <w:bookmarkStart w:id="55" w:name="_Toc256000027"/>
      <w:bookmarkEnd w:id="54"/>
      <w:r>
        <w:rPr>
          <w:rFonts w:ascii="Tahoma" w:eastAsia="Tahoma" w:hAnsi="Tahoma" w:cs="Tahoma"/>
          <w:i w:val="0"/>
          <w:color w:val="000000"/>
          <w:sz w:val="24"/>
          <w:lang w:val="fr-FR"/>
        </w:rPr>
        <w:t>8.1 - Adresses supplémentaires et points de contact</w:t>
      </w:r>
      <w:bookmarkEnd w:id="55"/>
    </w:p>
    <w:p w14:paraId="55D3B160" w14:textId="77777777" w:rsidR="003A4209" w:rsidRDefault="009B24AF">
      <w:pPr>
        <w:pStyle w:val="ParagrapheIndent2"/>
        <w:spacing w:line="241" w:lineRule="exact"/>
        <w:jc w:val="both"/>
        <w:rPr>
          <w:color w:val="000000"/>
          <w:lang w:val="fr-FR"/>
        </w:rPr>
      </w:pPr>
      <w:r>
        <w:rPr>
          <w:color w:val="000000"/>
          <w:lang w:val="fr-FR"/>
        </w:rPr>
        <w:t>Pour tout renseignement complémentaire concernant cette consultation, les candidats transmettent impérativement leur demande par l'intermédiaire du prof</w:t>
      </w:r>
      <w:r>
        <w:rPr>
          <w:color w:val="000000"/>
          <w:lang w:val="fr-FR"/>
        </w:rPr>
        <w:t>il d'acheteur du pouvoir adjudicateur, dont l'adresse URL est la suivante : https://www.larochelle.fr/vie-quotidienne/professionnels/marches-publics</w:t>
      </w:r>
    </w:p>
    <w:p w14:paraId="35488A2A" w14:textId="77777777" w:rsidR="003A4209" w:rsidRDefault="003A4209">
      <w:pPr>
        <w:pStyle w:val="ParagrapheIndent2"/>
        <w:spacing w:line="241" w:lineRule="exact"/>
        <w:jc w:val="both"/>
        <w:rPr>
          <w:color w:val="000000"/>
          <w:lang w:val="fr-FR"/>
        </w:rPr>
      </w:pPr>
    </w:p>
    <w:p w14:paraId="3AE94261" w14:textId="77777777" w:rsidR="003A4209" w:rsidRDefault="009B24AF">
      <w:pPr>
        <w:pStyle w:val="ParagrapheIndent2"/>
        <w:spacing w:after="240" w:line="241" w:lineRule="exact"/>
        <w:jc w:val="both"/>
        <w:rPr>
          <w:color w:val="000000"/>
          <w:lang w:val="fr-FR"/>
        </w:rPr>
      </w:pPr>
      <w:r>
        <w:rPr>
          <w:color w:val="000000"/>
          <w:lang w:val="fr-FR"/>
        </w:rPr>
        <w:t>Cette demande doit intervenir au plus tard 10 jours avant la date limite de remise des plis.</w:t>
      </w:r>
    </w:p>
    <w:p w14:paraId="21A443E7" w14:textId="77777777" w:rsidR="003A4209" w:rsidRDefault="009B24AF">
      <w:pPr>
        <w:pStyle w:val="ParagrapheIndent2"/>
        <w:spacing w:line="241" w:lineRule="exact"/>
        <w:jc w:val="both"/>
        <w:rPr>
          <w:color w:val="000000"/>
          <w:lang w:val="fr-FR"/>
        </w:rPr>
      </w:pPr>
      <w:r>
        <w:rPr>
          <w:color w:val="000000"/>
          <w:lang w:val="fr-FR"/>
        </w:rPr>
        <w:t>Une réponse s</w:t>
      </w:r>
      <w:r>
        <w:rPr>
          <w:color w:val="000000"/>
          <w:lang w:val="fr-FR"/>
        </w:rPr>
        <w:t>era alors adressée, à toutes les entreprises ayant retiré le dossier ou l'ayant téléchargé après identification, 6 jours au plus tard avant la date limite de remise des plis.</w:t>
      </w:r>
    </w:p>
    <w:p w14:paraId="35CDC564" w14:textId="77777777" w:rsidR="003A4209" w:rsidRDefault="003A4209">
      <w:pPr>
        <w:pStyle w:val="ParagrapheIndent2"/>
        <w:spacing w:line="241" w:lineRule="exact"/>
        <w:jc w:val="both"/>
        <w:rPr>
          <w:color w:val="000000"/>
          <w:lang w:val="fr-FR"/>
        </w:rPr>
      </w:pPr>
    </w:p>
    <w:p w14:paraId="3A6D68DD" w14:textId="3833BC1F" w:rsidR="009B24AF" w:rsidRDefault="009B24AF" w:rsidP="009B24AF">
      <w:pPr>
        <w:pStyle w:val="ParagrapheIndent2"/>
        <w:spacing w:after="120" w:line="241" w:lineRule="exact"/>
        <w:jc w:val="both"/>
        <w:rPr>
          <w:b/>
          <w:color w:val="000000"/>
          <w:lang w:val="fr-FR"/>
        </w:rPr>
      </w:pPr>
      <w:r>
        <w:rPr>
          <w:b/>
          <w:color w:val="000000"/>
          <w:lang w:val="fr-FR"/>
        </w:rPr>
        <w:t xml:space="preserve">Il appartient aux candidats de procéder à une relecture attentive de l’ensemble du dossier de consultation mis à leur disposition, en portant en particulier leur attention sur les documents à </w:t>
      </w:r>
      <w:r>
        <w:rPr>
          <w:b/>
          <w:color w:val="000000"/>
          <w:lang w:val="fr-FR"/>
        </w:rPr>
        <w:t xml:space="preserve">valeur contractuelle, dont la liste figure </w:t>
      </w:r>
      <w:r>
        <w:rPr>
          <w:b/>
          <w:color w:val="000000"/>
          <w:lang w:val="fr-FR"/>
        </w:rPr>
        <w:t>au Cahier des Clauses administratives particulières.</w:t>
      </w:r>
    </w:p>
    <w:p w14:paraId="26CD9757" w14:textId="77777777" w:rsidR="003A4209" w:rsidRDefault="009B24AF" w:rsidP="009B24AF">
      <w:pPr>
        <w:pStyle w:val="ParagrapheIndent2"/>
        <w:spacing w:after="120" w:line="241" w:lineRule="exact"/>
        <w:jc w:val="both"/>
        <w:rPr>
          <w:color w:val="000000"/>
          <w:lang w:val="fr-FR"/>
        </w:rPr>
      </w:pPr>
      <w:r>
        <w:rPr>
          <w:b/>
          <w:color w:val="000000"/>
          <w:lang w:val="fr-FR"/>
        </w:rPr>
        <w:br w:type="page"/>
      </w:r>
    </w:p>
    <w:p w14:paraId="40A82B4D" w14:textId="77777777" w:rsidR="003A4209" w:rsidRDefault="009B24AF">
      <w:pPr>
        <w:pStyle w:val="ParagrapheIndent2"/>
        <w:spacing w:line="241" w:lineRule="exact"/>
        <w:jc w:val="both"/>
        <w:rPr>
          <w:color w:val="000000"/>
          <w:lang w:val="fr-FR"/>
        </w:rPr>
      </w:pPr>
      <w:r>
        <w:rPr>
          <w:b/>
          <w:color w:val="000000"/>
          <w:lang w:val="fr-FR"/>
        </w:rPr>
        <w:t>Les observations de la part des candidats sur une ou plusieurs clause(s) doivent être formulées lors de la phase de consultation, impérativement via le profil d’acheteur, et peuvent donner lieu, le cas</w:t>
      </w:r>
      <w:r>
        <w:rPr>
          <w:b/>
          <w:color w:val="000000"/>
          <w:lang w:val="fr-FR"/>
        </w:rPr>
        <w:t xml:space="preserve"> échéant, après étude par l’acheteur, à une modification du dossier de consultation.</w:t>
      </w:r>
    </w:p>
    <w:p w14:paraId="0E9205E3" w14:textId="77777777" w:rsidR="003A4209" w:rsidRDefault="003A4209">
      <w:pPr>
        <w:pStyle w:val="ParagrapheIndent2"/>
        <w:spacing w:line="241" w:lineRule="exact"/>
        <w:jc w:val="both"/>
        <w:rPr>
          <w:color w:val="000000"/>
          <w:lang w:val="fr-FR"/>
        </w:rPr>
      </w:pPr>
    </w:p>
    <w:p w14:paraId="12F891EF" w14:textId="77777777" w:rsidR="003A4209" w:rsidRDefault="003A4209">
      <w:pPr>
        <w:pStyle w:val="ParagrapheIndent2"/>
        <w:spacing w:line="241" w:lineRule="exact"/>
        <w:jc w:val="both"/>
        <w:rPr>
          <w:color w:val="000000"/>
          <w:lang w:val="fr-FR"/>
        </w:rPr>
      </w:pPr>
    </w:p>
    <w:p w14:paraId="650347B4" w14:textId="77777777" w:rsidR="003A4209" w:rsidRDefault="009B24AF">
      <w:pPr>
        <w:pStyle w:val="ParagrapheIndent2"/>
        <w:spacing w:line="241" w:lineRule="exact"/>
        <w:jc w:val="both"/>
        <w:rPr>
          <w:color w:val="000000"/>
          <w:lang w:val="fr-FR"/>
        </w:rPr>
      </w:pPr>
      <w:r>
        <w:rPr>
          <w:b/>
          <w:color w:val="000000"/>
          <w:lang w:val="fr-FR"/>
        </w:rPr>
        <w:t>La remise de leur offre vaut acceptation de la part des candidats de l’ensemble des conditions contractuelles portées à leur connaissance lors de la consultation.</w:t>
      </w:r>
    </w:p>
    <w:p w14:paraId="49E2A1FA" w14:textId="77777777" w:rsidR="003A4209" w:rsidRDefault="003A4209">
      <w:pPr>
        <w:pStyle w:val="ParagrapheIndent2"/>
        <w:spacing w:line="241" w:lineRule="exact"/>
        <w:jc w:val="both"/>
        <w:rPr>
          <w:color w:val="000000"/>
          <w:lang w:val="fr-FR"/>
        </w:rPr>
      </w:pPr>
    </w:p>
    <w:p w14:paraId="166CC8A4" w14:textId="77777777" w:rsidR="003A4209" w:rsidRDefault="003A4209">
      <w:pPr>
        <w:pStyle w:val="ParagrapheIndent2"/>
        <w:spacing w:line="241" w:lineRule="exact"/>
        <w:jc w:val="both"/>
        <w:rPr>
          <w:color w:val="000000"/>
          <w:lang w:val="fr-FR"/>
        </w:rPr>
      </w:pPr>
    </w:p>
    <w:p w14:paraId="665A06BB" w14:textId="77777777" w:rsidR="003A4209" w:rsidRDefault="009B24AF">
      <w:pPr>
        <w:pStyle w:val="ParagrapheIndent2"/>
        <w:spacing w:line="241" w:lineRule="exact"/>
        <w:jc w:val="both"/>
        <w:rPr>
          <w:color w:val="000000"/>
          <w:lang w:val="fr-FR"/>
        </w:rPr>
      </w:pPr>
      <w:r>
        <w:rPr>
          <w:b/>
          <w:color w:val="000000"/>
          <w:lang w:val="fr-FR"/>
        </w:rPr>
        <w:t>De c</w:t>
      </w:r>
      <w:r>
        <w:rPr>
          <w:b/>
          <w:color w:val="000000"/>
          <w:lang w:val="fr-FR"/>
        </w:rPr>
        <w:t xml:space="preserve">e fait, une fois la notification du contrat effectuée, les candidats attributaires devenus titulaires ne pourront pas contester les conditions du marché en raison d'une mauvaise interprétation ou d'une négligence de leur part dans la lecture du dossier de </w:t>
      </w:r>
      <w:r>
        <w:rPr>
          <w:b/>
          <w:color w:val="000000"/>
          <w:lang w:val="fr-FR"/>
        </w:rPr>
        <w:t xml:space="preserve">consultation, notamment en ce qui concerne les modalités d’exécution financière (variation des prix et indices retenus dans ce cadre, pénalités, retenue de garantie, versement des acomptes...). </w:t>
      </w:r>
    </w:p>
    <w:p w14:paraId="26C114E5" w14:textId="77777777" w:rsidR="003A4209" w:rsidRDefault="003A4209">
      <w:pPr>
        <w:pStyle w:val="ParagrapheIndent2"/>
        <w:spacing w:after="240" w:line="241" w:lineRule="exact"/>
        <w:jc w:val="both"/>
        <w:rPr>
          <w:color w:val="000000"/>
          <w:lang w:val="fr-FR"/>
        </w:rPr>
      </w:pPr>
    </w:p>
    <w:p w14:paraId="584B4A50" w14:textId="77777777" w:rsidR="003A4209" w:rsidRDefault="009B24AF">
      <w:pPr>
        <w:pStyle w:val="Titre2"/>
        <w:ind w:left="280"/>
        <w:jc w:val="both"/>
        <w:rPr>
          <w:rFonts w:ascii="Tahoma" w:eastAsia="Tahoma" w:hAnsi="Tahoma" w:cs="Tahoma"/>
          <w:i w:val="0"/>
          <w:color w:val="000000"/>
          <w:sz w:val="24"/>
          <w:lang w:val="fr-FR"/>
        </w:rPr>
      </w:pPr>
      <w:bookmarkStart w:id="56" w:name="ArtL2_RC-2-A14.2"/>
      <w:bookmarkStart w:id="57" w:name="_Toc256000028"/>
      <w:bookmarkEnd w:id="56"/>
      <w:r>
        <w:rPr>
          <w:rFonts w:ascii="Tahoma" w:eastAsia="Tahoma" w:hAnsi="Tahoma" w:cs="Tahoma"/>
          <w:i w:val="0"/>
          <w:color w:val="000000"/>
          <w:sz w:val="24"/>
          <w:lang w:val="fr-FR"/>
        </w:rPr>
        <w:t>8.2 - Procédures de recours</w:t>
      </w:r>
      <w:bookmarkEnd w:id="57"/>
    </w:p>
    <w:p w14:paraId="5B6ED6F2" w14:textId="77777777" w:rsidR="003A4209" w:rsidRDefault="009B24AF">
      <w:pPr>
        <w:pStyle w:val="ParagrapheIndent2"/>
        <w:spacing w:line="241" w:lineRule="exact"/>
        <w:jc w:val="both"/>
        <w:rPr>
          <w:color w:val="000000"/>
          <w:lang w:val="fr-FR"/>
        </w:rPr>
      </w:pPr>
      <w:r>
        <w:rPr>
          <w:color w:val="000000"/>
          <w:lang w:val="fr-FR"/>
        </w:rPr>
        <w:t>Le tribunal territorialement com</w:t>
      </w:r>
      <w:r>
        <w:rPr>
          <w:color w:val="000000"/>
          <w:lang w:val="fr-FR"/>
        </w:rPr>
        <w:t>pétent est :</w:t>
      </w:r>
    </w:p>
    <w:p w14:paraId="4638F3BB" w14:textId="77777777" w:rsidR="003A4209" w:rsidRDefault="009B24AF">
      <w:pPr>
        <w:pStyle w:val="ParagrapheIndent2"/>
        <w:spacing w:line="241" w:lineRule="exact"/>
        <w:jc w:val="both"/>
        <w:rPr>
          <w:color w:val="000000"/>
          <w:lang w:val="fr-FR"/>
        </w:rPr>
      </w:pPr>
      <w:r>
        <w:rPr>
          <w:color w:val="000000"/>
          <w:lang w:val="fr-FR"/>
        </w:rPr>
        <w:t>Tribunal Administratif de Poitiers</w:t>
      </w:r>
    </w:p>
    <w:p w14:paraId="11EB2367" w14:textId="77777777" w:rsidR="003A4209" w:rsidRDefault="009B24AF">
      <w:pPr>
        <w:pStyle w:val="ParagrapheIndent2"/>
        <w:spacing w:line="241" w:lineRule="exact"/>
        <w:jc w:val="both"/>
        <w:rPr>
          <w:color w:val="000000"/>
          <w:lang w:val="fr-FR"/>
        </w:rPr>
      </w:pPr>
      <w:r>
        <w:rPr>
          <w:color w:val="000000"/>
          <w:lang w:val="fr-FR"/>
        </w:rPr>
        <w:t>15 rue Blossac</w:t>
      </w:r>
    </w:p>
    <w:p w14:paraId="04B9F16D" w14:textId="77777777" w:rsidR="003A4209" w:rsidRDefault="009B24AF">
      <w:pPr>
        <w:pStyle w:val="ParagrapheIndent2"/>
        <w:spacing w:line="241" w:lineRule="exact"/>
        <w:jc w:val="both"/>
        <w:rPr>
          <w:color w:val="000000"/>
          <w:lang w:val="fr-FR"/>
        </w:rPr>
      </w:pPr>
      <w:r>
        <w:rPr>
          <w:color w:val="000000"/>
          <w:lang w:val="fr-FR"/>
        </w:rPr>
        <w:t>BP 541</w:t>
      </w:r>
    </w:p>
    <w:p w14:paraId="6C6F8F41" w14:textId="77777777" w:rsidR="003A4209" w:rsidRDefault="009B24AF">
      <w:pPr>
        <w:pStyle w:val="ParagrapheIndent2"/>
        <w:spacing w:line="241" w:lineRule="exact"/>
        <w:jc w:val="both"/>
        <w:rPr>
          <w:color w:val="000000"/>
          <w:lang w:val="fr-FR"/>
        </w:rPr>
      </w:pPr>
      <w:r>
        <w:rPr>
          <w:color w:val="000000"/>
          <w:lang w:val="fr-FR"/>
        </w:rPr>
        <w:t>86020 POITIERS CEDEX 1</w:t>
      </w:r>
    </w:p>
    <w:p w14:paraId="0ED79459" w14:textId="77777777" w:rsidR="003A4209" w:rsidRDefault="003A4209">
      <w:pPr>
        <w:pStyle w:val="ParagrapheIndent2"/>
        <w:spacing w:line="241" w:lineRule="exact"/>
        <w:jc w:val="both"/>
        <w:rPr>
          <w:color w:val="000000"/>
          <w:lang w:val="fr-FR"/>
        </w:rPr>
      </w:pPr>
    </w:p>
    <w:p w14:paraId="7F62C4D0" w14:textId="77777777" w:rsidR="003A4209" w:rsidRDefault="009B24AF">
      <w:pPr>
        <w:pStyle w:val="ParagrapheIndent2"/>
        <w:spacing w:line="241" w:lineRule="exact"/>
        <w:jc w:val="both"/>
        <w:rPr>
          <w:color w:val="000000"/>
          <w:lang w:val="fr-FR"/>
        </w:rPr>
      </w:pPr>
      <w:r>
        <w:rPr>
          <w:color w:val="000000"/>
          <w:lang w:val="fr-FR"/>
        </w:rPr>
        <w:t>Tél : 05 49 60 79 19</w:t>
      </w:r>
    </w:p>
    <w:p w14:paraId="0B255F65" w14:textId="77777777" w:rsidR="003A4209" w:rsidRDefault="009B24AF">
      <w:pPr>
        <w:pStyle w:val="ParagrapheIndent2"/>
        <w:spacing w:line="241" w:lineRule="exact"/>
        <w:jc w:val="both"/>
        <w:rPr>
          <w:color w:val="000000"/>
          <w:lang w:val="fr-FR"/>
        </w:rPr>
      </w:pPr>
      <w:r>
        <w:rPr>
          <w:color w:val="000000"/>
          <w:lang w:val="fr-FR"/>
        </w:rPr>
        <w:t>Télécopie : 05 49 60 68 09</w:t>
      </w:r>
    </w:p>
    <w:p w14:paraId="33C954AC" w14:textId="77777777" w:rsidR="003A4209" w:rsidRDefault="009B24AF">
      <w:pPr>
        <w:pStyle w:val="ParagrapheIndent2"/>
        <w:spacing w:after="240" w:line="241" w:lineRule="exact"/>
        <w:jc w:val="both"/>
        <w:rPr>
          <w:color w:val="000000"/>
          <w:lang w:val="fr-FR"/>
        </w:rPr>
      </w:pPr>
      <w:r>
        <w:rPr>
          <w:color w:val="000000"/>
          <w:lang w:val="fr-FR"/>
        </w:rPr>
        <w:t>Courriel : greffe.ta-poitiers@juradm.fr</w:t>
      </w:r>
    </w:p>
    <w:p w14:paraId="4DC2200D" w14:textId="77777777" w:rsidR="003A4209" w:rsidRDefault="009B24AF">
      <w:pPr>
        <w:pStyle w:val="ParagrapheIndent2"/>
        <w:spacing w:line="241" w:lineRule="exact"/>
        <w:jc w:val="both"/>
        <w:rPr>
          <w:color w:val="000000"/>
          <w:lang w:val="fr-FR"/>
        </w:rPr>
      </w:pPr>
      <w:r>
        <w:rPr>
          <w:color w:val="000000"/>
          <w:lang w:val="fr-FR"/>
        </w:rPr>
        <w:t xml:space="preserve">Les voies de recours ouvertes aux candidats sont les suivantes : - </w:t>
      </w:r>
      <w:r>
        <w:rPr>
          <w:color w:val="000000"/>
          <w:lang w:val="fr-FR"/>
        </w:rPr>
        <w:t>Référé précontractuel prévu aux articles L. 551-1 à L. 551-12 du code de justice administrative (CJA), et pouvant être exercé avant la signature du contrat.</w:t>
      </w:r>
    </w:p>
    <w:p w14:paraId="2B547D33" w14:textId="77777777" w:rsidR="003A4209" w:rsidRDefault="009B24AF">
      <w:pPr>
        <w:pStyle w:val="ParagrapheIndent2"/>
        <w:spacing w:line="241" w:lineRule="exact"/>
        <w:jc w:val="both"/>
        <w:rPr>
          <w:color w:val="000000"/>
          <w:lang w:val="fr-FR"/>
        </w:rPr>
      </w:pPr>
      <w:r>
        <w:rPr>
          <w:color w:val="000000"/>
          <w:lang w:val="fr-FR"/>
        </w:rPr>
        <w:t>- Référé contractuel prévu aux articles L.551-13 à L.551-23 du CJA, et pouvant être exercé dans les</w:t>
      </w:r>
      <w:r>
        <w:rPr>
          <w:color w:val="000000"/>
          <w:lang w:val="fr-FR"/>
        </w:rPr>
        <w:t xml:space="preserve"> délais prévus à l'article R. 551-7 du CJA.</w:t>
      </w:r>
    </w:p>
    <w:p w14:paraId="6353C546" w14:textId="77777777" w:rsidR="003A4209" w:rsidRDefault="009B24AF">
      <w:pPr>
        <w:pStyle w:val="ParagrapheIndent2"/>
        <w:spacing w:line="241" w:lineRule="exact"/>
        <w:jc w:val="both"/>
        <w:rPr>
          <w:color w:val="000000"/>
          <w:lang w:val="fr-FR"/>
        </w:rPr>
      </w:pPr>
      <w:r>
        <w:rPr>
          <w:color w:val="000000"/>
          <w:lang w:val="fr-FR"/>
        </w:rPr>
        <w:t>- Recours de pleine juridiction ouvert aux concurrents évincés, et pouvant être exercé dans les deux mois suivant la date à laquelle la conclusion du contrat est rendue publique.</w:t>
      </w:r>
    </w:p>
    <w:p w14:paraId="1FC3EDAA" w14:textId="77777777" w:rsidR="003A4209" w:rsidRDefault="009B24AF">
      <w:pPr>
        <w:pStyle w:val="ParagrapheIndent2"/>
        <w:spacing w:after="240" w:line="241" w:lineRule="exact"/>
        <w:jc w:val="both"/>
        <w:rPr>
          <w:color w:val="000000"/>
          <w:lang w:val="fr-FR"/>
        </w:rPr>
      </w:pPr>
      <w:r>
        <w:rPr>
          <w:color w:val="000000"/>
          <w:lang w:val="fr-FR"/>
        </w:rPr>
        <w:t xml:space="preserve">- Recours contre une </w:t>
      </w:r>
      <w:r>
        <w:rPr>
          <w:color w:val="000000"/>
          <w:lang w:val="fr-FR"/>
        </w:rPr>
        <w:t>décision administrative prévu aux articles R. 421-1 à R. 421-7 du CJA, et pouvant être exercé dans les 2 mois suivant la notification ou publication de la décision de l'organisme.</w:t>
      </w:r>
    </w:p>
    <w:p w14:paraId="3A81676D" w14:textId="77777777" w:rsidR="003A4209" w:rsidRDefault="009B24AF">
      <w:pPr>
        <w:pStyle w:val="ParagrapheIndent2"/>
        <w:spacing w:line="241" w:lineRule="exact"/>
        <w:jc w:val="both"/>
        <w:rPr>
          <w:color w:val="000000"/>
          <w:lang w:val="fr-FR"/>
        </w:rPr>
      </w:pPr>
      <w:r>
        <w:rPr>
          <w:color w:val="000000"/>
          <w:lang w:val="fr-FR"/>
        </w:rPr>
        <w:t>Pour obtenir des renseignements relatifs à l'introduction des recours, les c</w:t>
      </w:r>
      <w:r>
        <w:rPr>
          <w:color w:val="000000"/>
          <w:lang w:val="fr-FR"/>
        </w:rPr>
        <w:t>andidats devront s'adresser à :</w:t>
      </w:r>
    </w:p>
    <w:p w14:paraId="1169A42E" w14:textId="77777777" w:rsidR="003A4209" w:rsidRDefault="009B24AF">
      <w:pPr>
        <w:pStyle w:val="ParagrapheIndent2"/>
        <w:spacing w:line="241" w:lineRule="exact"/>
        <w:jc w:val="both"/>
        <w:rPr>
          <w:color w:val="000000"/>
          <w:lang w:val="fr-FR"/>
        </w:rPr>
      </w:pPr>
      <w:r>
        <w:rPr>
          <w:color w:val="000000"/>
          <w:lang w:val="fr-FR"/>
        </w:rPr>
        <w:t>Tribunal Administratif de Poitiers</w:t>
      </w:r>
    </w:p>
    <w:p w14:paraId="1CCC3B8D" w14:textId="77777777" w:rsidR="003A4209" w:rsidRDefault="009B24AF">
      <w:pPr>
        <w:pStyle w:val="ParagrapheIndent2"/>
        <w:spacing w:line="241" w:lineRule="exact"/>
        <w:jc w:val="both"/>
        <w:rPr>
          <w:color w:val="000000"/>
          <w:lang w:val="fr-FR"/>
        </w:rPr>
      </w:pPr>
      <w:r>
        <w:rPr>
          <w:color w:val="000000"/>
          <w:lang w:val="fr-FR"/>
        </w:rPr>
        <w:t>Hôtel Gilbert</w:t>
      </w:r>
    </w:p>
    <w:p w14:paraId="62154499" w14:textId="77777777" w:rsidR="003A4209" w:rsidRDefault="009B24AF">
      <w:pPr>
        <w:pStyle w:val="ParagrapheIndent2"/>
        <w:spacing w:line="241" w:lineRule="exact"/>
        <w:jc w:val="both"/>
        <w:rPr>
          <w:color w:val="000000"/>
          <w:lang w:val="fr-FR"/>
        </w:rPr>
      </w:pPr>
      <w:r>
        <w:rPr>
          <w:color w:val="000000"/>
          <w:lang w:val="fr-FR"/>
        </w:rPr>
        <w:t>15 rue Blossac</w:t>
      </w:r>
    </w:p>
    <w:p w14:paraId="64F57A25" w14:textId="77777777" w:rsidR="003A4209" w:rsidRDefault="009B24AF">
      <w:pPr>
        <w:pStyle w:val="ParagrapheIndent2"/>
        <w:spacing w:line="241" w:lineRule="exact"/>
        <w:jc w:val="both"/>
        <w:rPr>
          <w:color w:val="000000"/>
          <w:lang w:val="fr-FR"/>
        </w:rPr>
      </w:pPr>
      <w:r>
        <w:rPr>
          <w:color w:val="000000"/>
          <w:lang w:val="fr-FR"/>
        </w:rPr>
        <w:t>BP 541</w:t>
      </w:r>
    </w:p>
    <w:p w14:paraId="385BD21B" w14:textId="77777777" w:rsidR="003A4209" w:rsidRDefault="009B24AF">
      <w:pPr>
        <w:pStyle w:val="ParagrapheIndent2"/>
        <w:spacing w:line="241" w:lineRule="exact"/>
        <w:jc w:val="both"/>
        <w:rPr>
          <w:color w:val="000000"/>
          <w:lang w:val="fr-FR"/>
        </w:rPr>
      </w:pPr>
      <w:r>
        <w:rPr>
          <w:color w:val="000000"/>
          <w:lang w:val="fr-FR"/>
        </w:rPr>
        <w:t>86020 POITIERS CEDEX 1</w:t>
      </w:r>
    </w:p>
    <w:p w14:paraId="35982888" w14:textId="77777777" w:rsidR="003A4209" w:rsidRDefault="003A4209">
      <w:pPr>
        <w:pStyle w:val="ParagrapheIndent2"/>
        <w:spacing w:line="241" w:lineRule="exact"/>
        <w:jc w:val="both"/>
        <w:rPr>
          <w:color w:val="000000"/>
          <w:lang w:val="fr-FR"/>
        </w:rPr>
      </w:pPr>
    </w:p>
    <w:p w14:paraId="2957B144" w14:textId="77777777" w:rsidR="003A4209" w:rsidRDefault="009B24AF">
      <w:pPr>
        <w:pStyle w:val="ParagrapheIndent2"/>
        <w:spacing w:line="241" w:lineRule="exact"/>
        <w:jc w:val="both"/>
        <w:rPr>
          <w:color w:val="000000"/>
          <w:lang w:val="fr-FR"/>
        </w:rPr>
      </w:pPr>
      <w:r>
        <w:rPr>
          <w:color w:val="000000"/>
          <w:lang w:val="fr-FR"/>
        </w:rPr>
        <w:t>Tél : 05 49 60 79 19</w:t>
      </w:r>
    </w:p>
    <w:p w14:paraId="24383899" w14:textId="77777777" w:rsidR="003A4209" w:rsidRDefault="009B24AF">
      <w:pPr>
        <w:pStyle w:val="ParagrapheIndent2"/>
        <w:spacing w:line="241" w:lineRule="exact"/>
        <w:jc w:val="both"/>
        <w:rPr>
          <w:color w:val="000000"/>
          <w:lang w:val="fr-FR"/>
        </w:rPr>
      </w:pPr>
      <w:r>
        <w:rPr>
          <w:color w:val="000000"/>
          <w:lang w:val="fr-FR"/>
        </w:rPr>
        <w:t>Télécopie : 05 49 60 68 09</w:t>
      </w:r>
    </w:p>
    <w:p w14:paraId="1BE01695" w14:textId="77777777" w:rsidR="003A4209" w:rsidRDefault="009B24AF">
      <w:pPr>
        <w:pStyle w:val="ParagrapheIndent2"/>
        <w:spacing w:line="241" w:lineRule="exact"/>
        <w:jc w:val="both"/>
        <w:rPr>
          <w:color w:val="000000"/>
          <w:lang w:val="fr-FR"/>
        </w:rPr>
      </w:pPr>
      <w:r>
        <w:rPr>
          <w:color w:val="000000"/>
          <w:lang w:val="fr-FR"/>
        </w:rPr>
        <w:t>Courriel : greffe.ta-poitiers@juradm.fr</w:t>
      </w:r>
    </w:p>
    <w:sectPr w:rsidR="003A4209">
      <w:footerReference w:type="default" r:id="rId9"/>
      <w:pgSz w:w="11900" w:h="16840"/>
      <w:pgMar w:top="280" w:right="1140" w:bottom="1140" w:left="1140" w:header="28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B5783" w14:textId="77777777" w:rsidR="00000000" w:rsidRDefault="009B24AF">
      <w:r>
        <w:separator/>
      </w:r>
    </w:p>
  </w:endnote>
  <w:endnote w:type="continuationSeparator" w:id="0">
    <w:p w14:paraId="253A9E84" w14:textId="77777777" w:rsidR="00000000" w:rsidRDefault="009B2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4DE25" w14:textId="77777777" w:rsidR="003A4209" w:rsidRDefault="003A4209">
    <w:pPr>
      <w:spacing w:line="240" w:lineRule="exact"/>
    </w:pPr>
  </w:p>
  <w:tbl>
    <w:tblPr>
      <w:tblW w:w="0" w:type="auto"/>
      <w:tblLayout w:type="fixed"/>
      <w:tblLook w:val="04A0" w:firstRow="1" w:lastRow="0" w:firstColumn="1" w:lastColumn="0" w:noHBand="0" w:noVBand="1"/>
    </w:tblPr>
    <w:tblGrid>
      <w:gridCol w:w="5220"/>
      <w:gridCol w:w="4400"/>
    </w:tblGrid>
    <w:tr w:rsidR="003A4209" w14:paraId="1BB00271" w14:textId="77777777">
      <w:trPr>
        <w:trHeight w:val="245"/>
      </w:trPr>
      <w:tc>
        <w:tcPr>
          <w:tcW w:w="5220" w:type="dxa"/>
          <w:tcMar>
            <w:top w:w="0" w:type="dxa"/>
            <w:left w:w="0" w:type="dxa"/>
            <w:bottom w:w="0" w:type="dxa"/>
            <w:right w:w="0" w:type="dxa"/>
          </w:tcMar>
          <w:vAlign w:val="center"/>
        </w:tcPr>
        <w:p w14:paraId="48BB0CA1" w14:textId="77777777" w:rsidR="003A4209" w:rsidRDefault="009B24AF">
          <w:pPr>
            <w:pStyle w:val="PiedDePage"/>
            <w:jc w:val="both"/>
            <w:rPr>
              <w:color w:val="000000"/>
              <w:lang w:val="fr-FR"/>
            </w:rPr>
          </w:pPr>
          <w:r>
            <w:rPr>
              <w:color w:val="000000"/>
              <w:lang w:val="fr-FR"/>
            </w:rPr>
            <w:t>Consultation n°: 2026.FCS.CTM.0196</w:t>
          </w:r>
        </w:p>
      </w:tc>
      <w:tc>
        <w:tcPr>
          <w:tcW w:w="4400" w:type="dxa"/>
          <w:tcMar>
            <w:top w:w="0" w:type="dxa"/>
            <w:left w:w="0" w:type="dxa"/>
            <w:bottom w:w="0" w:type="dxa"/>
            <w:right w:w="0" w:type="dxa"/>
          </w:tcMar>
          <w:vAlign w:val="center"/>
        </w:tcPr>
        <w:p w14:paraId="4AE05880" w14:textId="77777777" w:rsidR="003A4209" w:rsidRDefault="009B24AF">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11</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1F777" w14:textId="77777777" w:rsidR="003A4209" w:rsidRDefault="003A4209">
    <w:pPr>
      <w:spacing w:line="240" w:lineRule="exact"/>
    </w:pPr>
  </w:p>
  <w:tbl>
    <w:tblPr>
      <w:tblW w:w="0" w:type="auto"/>
      <w:tblLayout w:type="fixed"/>
      <w:tblLook w:val="04A0" w:firstRow="1" w:lastRow="0" w:firstColumn="1" w:lastColumn="0" w:noHBand="0" w:noVBand="1"/>
    </w:tblPr>
    <w:tblGrid>
      <w:gridCol w:w="5220"/>
      <w:gridCol w:w="4400"/>
    </w:tblGrid>
    <w:tr w:rsidR="003A4209" w14:paraId="79B80FE4" w14:textId="77777777">
      <w:trPr>
        <w:trHeight w:val="245"/>
      </w:trPr>
      <w:tc>
        <w:tcPr>
          <w:tcW w:w="5220" w:type="dxa"/>
          <w:tcMar>
            <w:top w:w="0" w:type="dxa"/>
            <w:left w:w="0" w:type="dxa"/>
            <w:bottom w:w="0" w:type="dxa"/>
            <w:right w:w="0" w:type="dxa"/>
          </w:tcMar>
          <w:vAlign w:val="center"/>
        </w:tcPr>
        <w:p w14:paraId="296F655A" w14:textId="77777777" w:rsidR="003A4209" w:rsidRDefault="009B24AF">
          <w:pPr>
            <w:pStyle w:val="PiedDePage"/>
            <w:jc w:val="both"/>
            <w:rPr>
              <w:color w:val="000000"/>
              <w:lang w:val="fr-FR"/>
            </w:rPr>
          </w:pPr>
          <w:r>
            <w:rPr>
              <w:color w:val="000000"/>
              <w:lang w:val="fr-FR"/>
            </w:rPr>
            <w:t>Consultation n°: 2026.FCS.CTM.0196</w:t>
          </w:r>
        </w:p>
      </w:tc>
      <w:tc>
        <w:tcPr>
          <w:tcW w:w="4400" w:type="dxa"/>
          <w:tcMar>
            <w:top w:w="0" w:type="dxa"/>
            <w:left w:w="0" w:type="dxa"/>
            <w:bottom w:w="0" w:type="dxa"/>
            <w:right w:w="0" w:type="dxa"/>
          </w:tcMar>
          <w:vAlign w:val="center"/>
        </w:tcPr>
        <w:p w14:paraId="318FEE5C" w14:textId="77777777" w:rsidR="003A4209" w:rsidRDefault="009B24AF">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11</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EF318" w14:textId="77777777" w:rsidR="003A4209" w:rsidRDefault="003A4209">
    <w:pPr>
      <w:spacing w:line="240" w:lineRule="exact"/>
    </w:pPr>
  </w:p>
  <w:tbl>
    <w:tblPr>
      <w:tblW w:w="0" w:type="auto"/>
      <w:tblLayout w:type="fixed"/>
      <w:tblLook w:val="04A0" w:firstRow="1" w:lastRow="0" w:firstColumn="1" w:lastColumn="0" w:noHBand="0" w:noVBand="1"/>
    </w:tblPr>
    <w:tblGrid>
      <w:gridCol w:w="5220"/>
      <w:gridCol w:w="4400"/>
    </w:tblGrid>
    <w:tr w:rsidR="003A4209" w14:paraId="5C164C9A" w14:textId="77777777">
      <w:trPr>
        <w:trHeight w:val="245"/>
      </w:trPr>
      <w:tc>
        <w:tcPr>
          <w:tcW w:w="5220" w:type="dxa"/>
          <w:tcMar>
            <w:top w:w="0" w:type="dxa"/>
            <w:left w:w="0" w:type="dxa"/>
            <w:bottom w:w="0" w:type="dxa"/>
            <w:right w:w="0" w:type="dxa"/>
          </w:tcMar>
          <w:vAlign w:val="center"/>
        </w:tcPr>
        <w:p w14:paraId="4860990A" w14:textId="77777777" w:rsidR="003A4209" w:rsidRDefault="009B24AF">
          <w:pPr>
            <w:pStyle w:val="PiedDePage"/>
            <w:jc w:val="both"/>
            <w:rPr>
              <w:color w:val="000000"/>
              <w:lang w:val="fr-FR"/>
            </w:rPr>
          </w:pPr>
          <w:r>
            <w:rPr>
              <w:color w:val="000000"/>
              <w:lang w:val="fr-FR"/>
            </w:rPr>
            <w:t>Consultation n°: 2026.FCS.CTM.0196</w:t>
          </w:r>
        </w:p>
      </w:tc>
      <w:tc>
        <w:tcPr>
          <w:tcW w:w="4400" w:type="dxa"/>
          <w:tcMar>
            <w:top w:w="0" w:type="dxa"/>
            <w:left w:w="0" w:type="dxa"/>
            <w:bottom w:w="0" w:type="dxa"/>
            <w:right w:w="0" w:type="dxa"/>
          </w:tcMar>
          <w:vAlign w:val="center"/>
        </w:tcPr>
        <w:p w14:paraId="3CDBECC0" w14:textId="77777777" w:rsidR="003A4209" w:rsidRDefault="009B24AF">
          <w:pPr>
            <w:pStyle w:val="PiedDePage"/>
            <w:jc w:val="right"/>
            <w:rPr>
              <w:color w:val="000000"/>
              <w:lang w:val="fr-FR"/>
            </w:rPr>
          </w:pPr>
          <w:r>
            <w:rPr>
              <w:color w:val="000000"/>
              <w:lang w:val="fr-FR"/>
            </w:rPr>
            <w:t>Page</w:t>
          </w:r>
          <w:r>
            <w:rPr>
              <w:color w:val="000000"/>
              <w:lang w:val="fr-FR"/>
            </w:rPr>
            <w:t xml:space="preserv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11</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F2592" w14:textId="77777777" w:rsidR="00000000" w:rsidRDefault="009B24AF">
      <w:r>
        <w:separator/>
      </w:r>
    </w:p>
  </w:footnote>
  <w:footnote w:type="continuationSeparator" w:id="0">
    <w:p w14:paraId="44520433" w14:textId="77777777" w:rsidR="00000000" w:rsidRDefault="009B24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209"/>
    <w:rsid w:val="003A4209"/>
    <w:rsid w:val="009B24AF"/>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626942E"/>
  <w15:docId w15:val="{67140455-53BA-4CAE-9C89-3BE2C89BA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Tahoma" w:eastAsia="Tahoma" w:hAnsi="Tahoma" w:cs="Tahoma"/>
      <w:sz w:val="18"/>
    </w:rPr>
  </w:style>
  <w:style w:type="paragraph" w:customStyle="1" w:styleId="ParagrapheIndent2">
    <w:name w:val="ParagrapheIndent2"/>
    <w:basedOn w:val="Normal"/>
    <w:next w:val="Normal"/>
    <w:qFormat/>
    <w:rsid w:val="006A5467"/>
    <w:rPr>
      <w:rFonts w:ascii="Tahoma" w:eastAsia="Tahoma" w:hAnsi="Tahoma" w:cs="Tahoma"/>
      <w:sz w:val="20"/>
    </w:rPr>
  </w:style>
  <w:style w:type="paragraph" w:customStyle="1" w:styleId="style1">
    <w:name w:val="style1"/>
    <w:basedOn w:val="Normal"/>
    <w:next w:val="Normal"/>
    <w:qFormat/>
    <w:rsid w:val="006A5467"/>
    <w:rPr>
      <w:rFonts w:ascii="Tahoma" w:eastAsia="Tahoma" w:hAnsi="Tahoma" w:cs="Tahoma"/>
      <w:sz w:val="20"/>
    </w:rPr>
  </w:style>
  <w:style w:type="paragraph" w:customStyle="1" w:styleId="Valign">
    <w:name w:val="Valign"/>
    <w:basedOn w:val="Normal"/>
    <w:next w:val="Normal"/>
    <w:qFormat/>
    <w:rsid w:val="006A5467"/>
    <w:rPr>
      <w:rFonts w:ascii="Tahoma" w:eastAsia="Tahoma" w:hAnsi="Tahoma" w:cs="Tahoma"/>
      <w:sz w:val="20"/>
    </w:rPr>
  </w:style>
  <w:style w:type="paragraph" w:customStyle="1" w:styleId="tableCF">
    <w:name w:val="table CF"/>
    <w:basedOn w:val="Normal"/>
    <w:next w:val="Normal"/>
    <w:qFormat/>
    <w:rsid w:val="006A5467"/>
    <w:rPr>
      <w:rFonts w:ascii="Tahoma" w:eastAsia="Tahoma" w:hAnsi="Tahoma" w:cs="Tahoma"/>
      <w:b/>
      <w:sz w:val="20"/>
    </w:rPr>
  </w:style>
  <w:style w:type="paragraph" w:customStyle="1" w:styleId="tableCH">
    <w:name w:val="table CH"/>
    <w:basedOn w:val="Normal"/>
    <w:next w:val="Normal"/>
    <w:qFormat/>
    <w:rsid w:val="006A5467"/>
    <w:rPr>
      <w:rFonts w:ascii="Trebuchet MS" w:eastAsia="Trebuchet MS" w:hAnsi="Trebuchet MS" w:cs="Trebuchet MS"/>
      <w:b/>
      <w:sz w:val="20"/>
    </w:rPr>
  </w:style>
  <w:style w:type="paragraph" w:customStyle="1" w:styleId="tableTD">
    <w:name w:val="table TD"/>
    <w:basedOn w:val="Normal"/>
    <w:next w:val="Normal"/>
    <w:qFormat/>
    <w:rsid w:val="006A5467"/>
    <w:rPr>
      <w:rFonts w:ascii="Tahoma" w:eastAsia="Tahoma" w:hAnsi="Tahoma" w:cs="Tahoma"/>
      <w:sz w:val="20"/>
    </w:rPr>
  </w:style>
  <w:style w:type="paragraph" w:customStyle="1" w:styleId="ParagrapheIndent1">
    <w:name w:val="ParagrapheIndent1"/>
    <w:basedOn w:val="Normal"/>
    <w:next w:val="Normal"/>
    <w:qFormat/>
    <w:rsid w:val="006A5467"/>
    <w:rPr>
      <w:rFonts w:ascii="Tahoma" w:eastAsia="Tahoma" w:hAnsi="Tahoma" w:cs="Tahoma"/>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4218</Words>
  <Characters>23205</Characters>
  <Application>Microsoft Office Word</Application>
  <DocSecurity>0</DocSecurity>
  <Lines>193</Lines>
  <Paragraphs>54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LESCUYER François</dc:creator>
  <cp:lastModifiedBy>LESCUYER François</cp:lastModifiedBy>
  <cp:revision>2</cp:revision>
  <dcterms:created xsi:type="dcterms:W3CDTF">2026-10-19T14:29:00Z</dcterms:created>
  <dcterms:modified xsi:type="dcterms:W3CDTF">2026-10-19T14:29:00Z</dcterms:modified>
</cp:coreProperties>
</file>