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6D096" w14:textId="77777777" w:rsidR="00FC4E8D" w:rsidRPr="00022D22" w:rsidRDefault="001C0864">
      <w:pPr>
        <w:ind w:left="3760" w:right="3760"/>
        <w:rPr>
          <w:sz w:val="2"/>
        </w:rPr>
      </w:pPr>
      <w:r>
        <w:pict w14:anchorId="3F86D2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77.25pt">
            <v:imagedata r:id="rId9" o:title=""/>
          </v:shape>
        </w:pict>
      </w:r>
    </w:p>
    <w:p w14:paraId="3F86D097" w14:textId="77777777" w:rsidR="00FC4E8D" w:rsidRPr="00022D22" w:rsidRDefault="00FC4E8D">
      <w:pPr>
        <w:spacing w:after="160" w:line="240" w:lineRule="exact"/>
      </w:pPr>
    </w:p>
    <w:tbl>
      <w:tblPr>
        <w:tblW w:w="0" w:type="auto"/>
        <w:tblLayout w:type="fixed"/>
        <w:tblLook w:val="04A0" w:firstRow="1" w:lastRow="0" w:firstColumn="1" w:lastColumn="0" w:noHBand="0" w:noVBand="1"/>
      </w:tblPr>
      <w:tblGrid>
        <w:gridCol w:w="9620"/>
      </w:tblGrid>
      <w:tr w:rsidR="00FC4E8D" w:rsidRPr="00022D22" w14:paraId="3F86D099" w14:textId="77777777">
        <w:tc>
          <w:tcPr>
            <w:tcW w:w="9620" w:type="dxa"/>
            <w:shd w:val="clear" w:color="666553" w:fill="666553"/>
            <w:tcMar>
              <w:top w:w="30" w:type="dxa"/>
              <w:left w:w="0" w:type="dxa"/>
              <w:bottom w:w="0" w:type="dxa"/>
              <w:right w:w="0" w:type="dxa"/>
            </w:tcMar>
            <w:vAlign w:val="center"/>
          </w:tcPr>
          <w:p w14:paraId="3F86D098" w14:textId="77777777" w:rsidR="00FC4E8D" w:rsidRPr="00022D22" w:rsidRDefault="00D238AB">
            <w:pPr>
              <w:jc w:val="center"/>
              <w:rPr>
                <w:rFonts w:ascii="Century Gothic" w:eastAsia="Century Gothic" w:hAnsi="Century Gothic" w:cs="Century Gothic"/>
                <w:b/>
                <w:color w:val="FFFFFF"/>
                <w:sz w:val="28"/>
              </w:rPr>
            </w:pPr>
            <w:r w:rsidRPr="00022D22">
              <w:rPr>
                <w:rFonts w:ascii="Century Gothic" w:eastAsia="Century Gothic" w:hAnsi="Century Gothic" w:cs="Century Gothic"/>
                <w:b/>
                <w:color w:val="FFFFFF"/>
                <w:sz w:val="28"/>
              </w:rPr>
              <w:t>RÈGLEMENT DE LA CONSULTATION</w:t>
            </w:r>
          </w:p>
        </w:tc>
      </w:tr>
    </w:tbl>
    <w:p w14:paraId="3F86D09A" w14:textId="77777777" w:rsidR="00FC4E8D" w:rsidRPr="00022D22" w:rsidRDefault="00D238AB">
      <w:pPr>
        <w:spacing w:line="240" w:lineRule="exact"/>
      </w:pPr>
      <w:r w:rsidRPr="00022D22">
        <w:t xml:space="preserve"> </w:t>
      </w:r>
    </w:p>
    <w:p w14:paraId="3F86D09B" w14:textId="77777777" w:rsidR="00FC4E8D" w:rsidRPr="00022D22" w:rsidRDefault="00FC4E8D">
      <w:pPr>
        <w:spacing w:after="120" w:line="240" w:lineRule="exact"/>
      </w:pPr>
    </w:p>
    <w:p w14:paraId="3F86D09C" w14:textId="77777777" w:rsidR="00FC4E8D" w:rsidRPr="00022D22" w:rsidRDefault="00D238AB">
      <w:pPr>
        <w:jc w:val="center"/>
        <w:rPr>
          <w:rFonts w:ascii="Century Gothic" w:eastAsia="Century Gothic" w:hAnsi="Century Gothic" w:cs="Century Gothic"/>
          <w:b/>
          <w:color w:val="000000"/>
          <w:sz w:val="28"/>
        </w:rPr>
      </w:pPr>
      <w:r w:rsidRPr="00022D22">
        <w:rPr>
          <w:rFonts w:ascii="Century Gothic" w:eastAsia="Century Gothic" w:hAnsi="Century Gothic" w:cs="Century Gothic"/>
          <w:b/>
          <w:color w:val="000000"/>
          <w:sz w:val="28"/>
        </w:rPr>
        <w:t>ACCORD-CADRE DE TRAVAUX</w:t>
      </w:r>
    </w:p>
    <w:p w14:paraId="3F86D09D" w14:textId="77777777" w:rsidR="00FC4E8D" w:rsidRPr="00022D22" w:rsidRDefault="00FC4E8D">
      <w:pPr>
        <w:spacing w:line="240" w:lineRule="exact"/>
      </w:pPr>
    </w:p>
    <w:p w14:paraId="3F86D09E" w14:textId="77777777" w:rsidR="00FC4E8D" w:rsidRPr="00022D22" w:rsidRDefault="00FC4E8D">
      <w:pPr>
        <w:spacing w:line="240" w:lineRule="exact"/>
      </w:pPr>
    </w:p>
    <w:p w14:paraId="3F86D09F" w14:textId="77777777" w:rsidR="00FC4E8D" w:rsidRPr="00022D22" w:rsidRDefault="00FC4E8D">
      <w:pPr>
        <w:spacing w:line="240" w:lineRule="exact"/>
      </w:pPr>
    </w:p>
    <w:p w14:paraId="3F86D0A0" w14:textId="77777777" w:rsidR="00FC4E8D" w:rsidRPr="00022D22" w:rsidRDefault="00FC4E8D">
      <w:pPr>
        <w:spacing w:line="240" w:lineRule="exact"/>
      </w:pPr>
    </w:p>
    <w:p w14:paraId="3F86D0A1" w14:textId="77777777" w:rsidR="00FC4E8D" w:rsidRPr="00022D22" w:rsidRDefault="00FC4E8D">
      <w:pPr>
        <w:spacing w:line="240" w:lineRule="exact"/>
      </w:pPr>
    </w:p>
    <w:p w14:paraId="3F86D0A2" w14:textId="77777777" w:rsidR="00FC4E8D" w:rsidRPr="00022D22" w:rsidRDefault="00FC4E8D">
      <w:pPr>
        <w:spacing w:line="240" w:lineRule="exact"/>
      </w:pPr>
    </w:p>
    <w:p w14:paraId="3F86D0A3" w14:textId="77777777" w:rsidR="00FC4E8D" w:rsidRPr="00022D22" w:rsidRDefault="00FC4E8D">
      <w:pPr>
        <w:spacing w:line="240" w:lineRule="exact"/>
      </w:pPr>
    </w:p>
    <w:p w14:paraId="3F86D0A4" w14:textId="77777777" w:rsidR="00FC4E8D" w:rsidRPr="00022D22" w:rsidRDefault="00FC4E8D">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FC4E8D" w:rsidRPr="00022D22" w14:paraId="3F86D0A8" w14:textId="77777777">
        <w:trPr>
          <w:trHeight w:val="1075"/>
        </w:trPr>
        <w:tc>
          <w:tcPr>
            <w:tcW w:w="1260" w:type="dxa"/>
            <w:tcMar>
              <w:top w:w="0" w:type="dxa"/>
              <w:left w:w="0" w:type="dxa"/>
              <w:bottom w:w="0" w:type="dxa"/>
              <w:right w:w="0" w:type="dxa"/>
            </w:tcMar>
          </w:tcPr>
          <w:p w14:paraId="3F86D0A5" w14:textId="77777777" w:rsidR="00FC4E8D" w:rsidRPr="00022D22" w:rsidRDefault="00FC4E8D">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F86D0A6" w14:textId="77777777" w:rsidR="00FC4E8D" w:rsidRPr="00022D22" w:rsidRDefault="00D238AB">
            <w:pPr>
              <w:spacing w:line="343" w:lineRule="exact"/>
              <w:jc w:val="center"/>
              <w:rPr>
                <w:rFonts w:ascii="Century Gothic" w:eastAsia="Century Gothic" w:hAnsi="Century Gothic" w:cs="Century Gothic"/>
                <w:b/>
                <w:color w:val="000000"/>
                <w:sz w:val="28"/>
              </w:rPr>
            </w:pPr>
            <w:r w:rsidRPr="00022D22">
              <w:rPr>
                <w:rFonts w:ascii="Century Gothic" w:eastAsia="Century Gothic" w:hAnsi="Century Gothic" w:cs="Century Gothic"/>
                <w:b/>
                <w:color w:val="000000"/>
                <w:sz w:val="28"/>
              </w:rPr>
              <w:t xml:space="preserve">Accord-cadre à bons de commande relatif à la fourniture et la pose de clôtures industrielles dans les espaces verts de la Ville de Perpignan </w:t>
            </w:r>
          </w:p>
        </w:tc>
        <w:tc>
          <w:tcPr>
            <w:tcW w:w="1260" w:type="dxa"/>
            <w:tcMar>
              <w:top w:w="0" w:type="dxa"/>
              <w:left w:w="0" w:type="dxa"/>
              <w:bottom w:w="0" w:type="dxa"/>
              <w:right w:w="0" w:type="dxa"/>
            </w:tcMar>
          </w:tcPr>
          <w:p w14:paraId="3F86D0A7" w14:textId="77777777" w:rsidR="00FC4E8D" w:rsidRPr="00022D22" w:rsidRDefault="00FC4E8D">
            <w:pPr>
              <w:rPr>
                <w:sz w:val="2"/>
              </w:rPr>
            </w:pPr>
          </w:p>
        </w:tc>
      </w:tr>
      <w:tr w:rsidR="00FC4E8D" w:rsidRPr="00022D22" w14:paraId="3F86D0AA" w14:textId="77777777">
        <w:trPr>
          <w:trHeight w:val="294"/>
        </w:trPr>
        <w:tc>
          <w:tcPr>
            <w:tcW w:w="9620" w:type="dxa"/>
            <w:gridSpan w:val="3"/>
            <w:vMerge w:val="restart"/>
            <w:tcMar>
              <w:top w:w="0" w:type="dxa"/>
              <w:left w:w="0" w:type="dxa"/>
              <w:bottom w:w="0" w:type="dxa"/>
              <w:right w:w="0" w:type="dxa"/>
            </w:tcMar>
            <w:vAlign w:val="center"/>
          </w:tcPr>
          <w:p w14:paraId="3F86D0A9" w14:textId="77777777" w:rsidR="00FC4E8D" w:rsidRPr="00022D22" w:rsidRDefault="00D238AB">
            <w:pPr>
              <w:jc w:val="center"/>
              <w:rPr>
                <w:rFonts w:ascii="Century Gothic" w:eastAsia="Century Gothic" w:hAnsi="Century Gothic" w:cs="Century Gothic"/>
                <w:color w:val="000000"/>
              </w:rPr>
            </w:pPr>
            <w:r w:rsidRPr="00022D22">
              <w:rPr>
                <w:rFonts w:ascii="Century Gothic" w:eastAsia="Century Gothic" w:hAnsi="Century Gothic" w:cs="Century Gothic"/>
                <w:color w:val="000000"/>
              </w:rPr>
              <w:t>Date et heure limites de réception des offres :</w:t>
            </w:r>
          </w:p>
        </w:tc>
      </w:tr>
      <w:tr w:rsidR="00FC4E8D" w:rsidRPr="00022D22" w14:paraId="3F86D0AC" w14:textId="77777777">
        <w:trPr>
          <w:trHeight w:val="276"/>
        </w:trPr>
        <w:tc>
          <w:tcPr>
            <w:tcW w:w="9620" w:type="dxa"/>
            <w:gridSpan w:val="3"/>
            <w:vMerge/>
            <w:tcMar>
              <w:top w:w="0" w:type="dxa"/>
              <w:left w:w="0" w:type="dxa"/>
              <w:bottom w:w="0" w:type="dxa"/>
              <w:right w:w="0" w:type="dxa"/>
            </w:tcMar>
          </w:tcPr>
          <w:p w14:paraId="3F86D0AB" w14:textId="77777777" w:rsidR="00FC4E8D" w:rsidRPr="00022D22" w:rsidRDefault="00FC4E8D"/>
        </w:tc>
      </w:tr>
    </w:tbl>
    <w:p w14:paraId="3F86D0AD" w14:textId="722035D4" w:rsidR="00FC4E8D" w:rsidRPr="00022D22" w:rsidRDefault="0094388D">
      <w:pPr>
        <w:spacing w:before="40"/>
        <w:jc w:val="center"/>
        <w:rPr>
          <w:rFonts w:ascii="Century Gothic" w:eastAsia="Century Gothic" w:hAnsi="Century Gothic" w:cs="Century Gothic"/>
          <w:color w:val="000000"/>
        </w:rPr>
      </w:pPr>
      <w:r w:rsidRPr="00022D22">
        <w:rPr>
          <w:rFonts w:ascii="Century Gothic" w:eastAsia="Century Gothic" w:hAnsi="Century Gothic" w:cs="Century Gothic"/>
          <w:color w:val="000000"/>
        </w:rPr>
        <w:t>Vendredi</w:t>
      </w:r>
      <w:r w:rsidR="00D238AB" w:rsidRPr="00022D22">
        <w:rPr>
          <w:rFonts w:ascii="Century Gothic" w:eastAsia="Century Gothic" w:hAnsi="Century Gothic" w:cs="Century Gothic"/>
          <w:color w:val="000000"/>
        </w:rPr>
        <w:t xml:space="preserve"> </w:t>
      </w:r>
      <w:r>
        <w:rPr>
          <w:rFonts w:ascii="Century Gothic" w:eastAsia="Century Gothic" w:hAnsi="Century Gothic" w:cs="Century Gothic"/>
          <w:color w:val="000000"/>
        </w:rPr>
        <w:t>2</w:t>
      </w:r>
      <w:r w:rsidR="006771AA">
        <w:rPr>
          <w:rFonts w:ascii="Century Gothic" w:eastAsia="Century Gothic" w:hAnsi="Century Gothic" w:cs="Century Gothic"/>
          <w:color w:val="000000"/>
        </w:rPr>
        <w:t>0</w:t>
      </w:r>
      <w:r w:rsidR="00D238AB" w:rsidRPr="00022D22">
        <w:rPr>
          <w:rFonts w:ascii="Century Gothic" w:eastAsia="Century Gothic" w:hAnsi="Century Gothic" w:cs="Century Gothic"/>
          <w:color w:val="000000"/>
        </w:rPr>
        <w:t xml:space="preserve"> novembre 2026 à </w:t>
      </w:r>
      <w:r w:rsidR="007B1916" w:rsidRPr="00022D22">
        <w:rPr>
          <w:rFonts w:ascii="Century Gothic" w:eastAsia="Century Gothic" w:hAnsi="Century Gothic" w:cs="Century Gothic"/>
          <w:color w:val="000000"/>
        </w:rPr>
        <w:t>12</w:t>
      </w:r>
      <w:r w:rsidR="008E3AFC" w:rsidRPr="00022D22">
        <w:rPr>
          <w:rFonts w:ascii="Century Gothic" w:eastAsia="Century Gothic" w:hAnsi="Century Gothic" w:cs="Century Gothic"/>
          <w:color w:val="000000"/>
        </w:rPr>
        <w:t>:00</w:t>
      </w:r>
    </w:p>
    <w:p w14:paraId="3F86D0AE" w14:textId="77777777" w:rsidR="00FC4E8D" w:rsidRPr="00022D22" w:rsidRDefault="00FC4E8D">
      <w:pPr>
        <w:spacing w:line="240" w:lineRule="exact"/>
      </w:pPr>
    </w:p>
    <w:p w14:paraId="3F86D0AF" w14:textId="77777777" w:rsidR="00FC4E8D" w:rsidRPr="00022D22" w:rsidRDefault="00FC4E8D">
      <w:pPr>
        <w:spacing w:line="240" w:lineRule="exact"/>
      </w:pPr>
    </w:p>
    <w:p w14:paraId="3F86D0B0" w14:textId="77777777" w:rsidR="00FC4E8D" w:rsidRPr="00022D22" w:rsidRDefault="00FC4E8D">
      <w:pPr>
        <w:spacing w:line="240" w:lineRule="exact"/>
      </w:pPr>
    </w:p>
    <w:p w14:paraId="3F86D0B1" w14:textId="77777777" w:rsidR="00FC4E8D" w:rsidRPr="00022D22" w:rsidRDefault="00FC4E8D">
      <w:pPr>
        <w:spacing w:line="240" w:lineRule="exact"/>
      </w:pPr>
    </w:p>
    <w:p w14:paraId="3F86D0B2" w14:textId="77777777" w:rsidR="00FC4E8D" w:rsidRPr="00022D22" w:rsidRDefault="00FC4E8D">
      <w:pPr>
        <w:spacing w:line="240" w:lineRule="exact"/>
      </w:pPr>
    </w:p>
    <w:p w14:paraId="3F86D0B3" w14:textId="77777777" w:rsidR="00FC4E8D" w:rsidRPr="00022D22" w:rsidRDefault="00FC4E8D">
      <w:pPr>
        <w:spacing w:line="240" w:lineRule="exact"/>
      </w:pPr>
    </w:p>
    <w:p w14:paraId="3F86D0B4" w14:textId="77777777" w:rsidR="00FC4E8D" w:rsidRPr="00022D22" w:rsidRDefault="00FC4E8D">
      <w:pPr>
        <w:spacing w:line="240" w:lineRule="exact"/>
      </w:pPr>
    </w:p>
    <w:p w14:paraId="3F86D0B5" w14:textId="77777777" w:rsidR="00FC4E8D" w:rsidRPr="00022D22" w:rsidRDefault="00FC4E8D">
      <w:pPr>
        <w:spacing w:line="240" w:lineRule="exact"/>
      </w:pPr>
    </w:p>
    <w:p w14:paraId="3F86D0B6" w14:textId="77777777" w:rsidR="00FC4E8D" w:rsidRPr="00022D22" w:rsidRDefault="00D238AB">
      <w:pPr>
        <w:spacing w:line="294" w:lineRule="exact"/>
        <w:jc w:val="center"/>
        <w:rPr>
          <w:rFonts w:ascii="Century Gothic" w:eastAsia="Century Gothic" w:hAnsi="Century Gothic" w:cs="Century Gothic"/>
          <w:color w:val="000000"/>
        </w:rPr>
      </w:pPr>
      <w:r w:rsidRPr="00022D22">
        <w:rPr>
          <w:rFonts w:ascii="Century Gothic" w:eastAsia="Century Gothic" w:hAnsi="Century Gothic" w:cs="Century Gothic"/>
          <w:b/>
          <w:color w:val="000000"/>
        </w:rPr>
        <w:t xml:space="preserve">Mairie de Perpignan </w:t>
      </w:r>
    </w:p>
    <w:p w14:paraId="3F86D0B7" w14:textId="77777777" w:rsidR="00FC4E8D" w:rsidRPr="00022D22" w:rsidRDefault="00D238AB">
      <w:pPr>
        <w:spacing w:line="294" w:lineRule="exact"/>
        <w:jc w:val="center"/>
        <w:rPr>
          <w:rFonts w:ascii="Century Gothic" w:eastAsia="Century Gothic" w:hAnsi="Century Gothic" w:cs="Century Gothic"/>
          <w:color w:val="000000"/>
        </w:rPr>
      </w:pPr>
      <w:r w:rsidRPr="00022D22">
        <w:rPr>
          <w:rFonts w:ascii="Century Gothic" w:eastAsia="Century Gothic" w:hAnsi="Century Gothic" w:cs="Century Gothic"/>
          <w:color w:val="000000"/>
        </w:rPr>
        <w:t>Place de la Loge</w:t>
      </w:r>
    </w:p>
    <w:p w14:paraId="3F86D0B8" w14:textId="77777777" w:rsidR="00FC4E8D" w:rsidRPr="00022D22" w:rsidRDefault="00D238AB">
      <w:pPr>
        <w:spacing w:line="294" w:lineRule="exact"/>
        <w:jc w:val="center"/>
        <w:rPr>
          <w:rFonts w:ascii="Century Gothic" w:eastAsia="Century Gothic" w:hAnsi="Century Gothic" w:cs="Century Gothic"/>
          <w:color w:val="000000"/>
        </w:rPr>
      </w:pPr>
      <w:r w:rsidRPr="00022D22">
        <w:rPr>
          <w:rFonts w:ascii="Century Gothic" w:eastAsia="Century Gothic" w:hAnsi="Century Gothic" w:cs="Century Gothic"/>
          <w:color w:val="000000"/>
        </w:rPr>
        <w:t>BP 20931</w:t>
      </w:r>
    </w:p>
    <w:p w14:paraId="3F86D0B9" w14:textId="77777777" w:rsidR="00FC4E8D" w:rsidRPr="00022D22" w:rsidRDefault="00D238AB">
      <w:pPr>
        <w:spacing w:line="294" w:lineRule="exact"/>
        <w:jc w:val="center"/>
        <w:rPr>
          <w:rFonts w:ascii="Century Gothic" w:eastAsia="Century Gothic" w:hAnsi="Century Gothic" w:cs="Century Gothic"/>
          <w:color w:val="000000"/>
        </w:rPr>
      </w:pPr>
      <w:r w:rsidRPr="00022D22">
        <w:rPr>
          <w:rFonts w:ascii="Century Gothic" w:eastAsia="Century Gothic" w:hAnsi="Century Gothic" w:cs="Century Gothic"/>
          <w:color w:val="000000"/>
        </w:rPr>
        <w:t>66931 PERPIGNAN CEDEX</w:t>
      </w:r>
    </w:p>
    <w:p w14:paraId="3F86D0BA" w14:textId="77777777" w:rsidR="00FC4E8D" w:rsidRPr="00022D22" w:rsidRDefault="00D238AB">
      <w:pPr>
        <w:spacing w:line="294" w:lineRule="exact"/>
        <w:jc w:val="center"/>
        <w:rPr>
          <w:rFonts w:ascii="Century Gothic" w:eastAsia="Century Gothic" w:hAnsi="Century Gothic" w:cs="Century Gothic"/>
          <w:color w:val="000000"/>
        </w:rPr>
        <w:sectPr w:rsidR="00FC4E8D" w:rsidRPr="00022D22">
          <w:pgSz w:w="11900" w:h="16840"/>
          <w:pgMar w:top="1400" w:right="1140" w:bottom="1440" w:left="1140" w:header="1400" w:footer="1440" w:gutter="0"/>
          <w:cols w:space="708"/>
        </w:sectPr>
      </w:pPr>
      <w:r w:rsidRPr="00022D22">
        <w:rPr>
          <w:rFonts w:ascii="Century Gothic" w:eastAsia="Century Gothic" w:hAnsi="Century Gothic" w:cs="Century Gothic"/>
          <w:color w:val="000000"/>
        </w:rPr>
        <w:t>Tél : 04 68 66 32 79</w:t>
      </w:r>
    </w:p>
    <w:p w14:paraId="3F86D0BB" w14:textId="77777777" w:rsidR="00FC4E8D" w:rsidRPr="00022D22" w:rsidRDefault="00FC4E8D">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FC4E8D" w:rsidRPr="00022D22" w14:paraId="3F86D0BD"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F86D0BC" w14:textId="77777777" w:rsidR="00FC4E8D" w:rsidRPr="00022D22" w:rsidRDefault="00D238AB">
            <w:pPr>
              <w:pStyle w:val="Titletable"/>
              <w:jc w:val="center"/>
            </w:pPr>
            <w:r w:rsidRPr="00022D22">
              <w:t>L'ESSENTIEL DE LA PROCÉDURE</w:t>
            </w:r>
          </w:p>
        </w:tc>
      </w:tr>
      <w:tr w:rsidR="00FC4E8D" w:rsidRPr="00022D22" w14:paraId="3F86D0C2" w14:textId="77777777">
        <w:trPr>
          <w:trHeight w:val="85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BE" w14:textId="77777777" w:rsidR="00FC4E8D" w:rsidRPr="00022D22" w:rsidRDefault="00FC4E8D">
            <w:pPr>
              <w:spacing w:after="60" w:line="240" w:lineRule="exact"/>
            </w:pPr>
          </w:p>
          <w:p w14:paraId="3F86D0BF" w14:textId="77777777" w:rsidR="00FC4E8D" w:rsidRPr="00022D22" w:rsidRDefault="001C0864">
            <w:pPr>
              <w:ind w:left="420"/>
              <w:rPr>
                <w:sz w:val="2"/>
              </w:rPr>
            </w:pPr>
            <w:r>
              <w:pict w14:anchorId="3F86D262">
                <v:shape id="_x0000_i1026"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0" w14:textId="77777777" w:rsidR="00FC4E8D" w:rsidRPr="00022D22" w:rsidRDefault="00D238AB">
            <w:pPr>
              <w:spacing w:before="320" w:after="16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1" w14:textId="77777777" w:rsidR="00FC4E8D" w:rsidRPr="00022D22" w:rsidRDefault="00D238AB">
            <w:pPr>
              <w:spacing w:before="60" w:after="60" w:line="270" w:lineRule="exact"/>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 xml:space="preserve">Accord-cadre à bons de commande relatif à la fourniture et la pose de clôtures industrielles dans les espaces verts de la Ville de Perpignan </w:t>
            </w:r>
          </w:p>
        </w:tc>
      </w:tr>
      <w:tr w:rsidR="00FC4E8D" w:rsidRPr="00022D22" w14:paraId="3F86D0C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3" w14:textId="77777777" w:rsidR="00FC4E8D" w:rsidRPr="00022D22" w:rsidRDefault="00FC4E8D">
            <w:pPr>
              <w:spacing w:line="140" w:lineRule="exact"/>
              <w:rPr>
                <w:sz w:val="14"/>
              </w:rPr>
            </w:pPr>
          </w:p>
          <w:p w14:paraId="3F86D0C4" w14:textId="77777777" w:rsidR="00FC4E8D" w:rsidRPr="00022D22" w:rsidRDefault="001C0864">
            <w:pPr>
              <w:ind w:left="420"/>
              <w:rPr>
                <w:sz w:val="2"/>
              </w:rPr>
            </w:pPr>
            <w:r>
              <w:pict w14:anchorId="3F86D263">
                <v:shape id="_x0000_i1027"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5"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6"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Procédure adaptée ouverte</w:t>
            </w:r>
          </w:p>
        </w:tc>
      </w:tr>
      <w:tr w:rsidR="00FC4E8D" w:rsidRPr="00022D22" w14:paraId="3F86D0C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8" w14:textId="77777777" w:rsidR="00FC4E8D" w:rsidRPr="00022D22" w:rsidRDefault="00FC4E8D">
            <w:pPr>
              <w:spacing w:line="140" w:lineRule="exact"/>
              <w:rPr>
                <w:sz w:val="14"/>
              </w:rPr>
            </w:pPr>
          </w:p>
          <w:p w14:paraId="3F86D0C9" w14:textId="77777777" w:rsidR="00FC4E8D" w:rsidRPr="00022D22" w:rsidRDefault="001C0864">
            <w:pPr>
              <w:ind w:left="420"/>
              <w:rPr>
                <w:sz w:val="2"/>
              </w:rPr>
            </w:pPr>
            <w:r>
              <w:pict w14:anchorId="3F86D264">
                <v:shape id="_x0000_i1028"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A"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B"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Accord-cadre</w:t>
            </w:r>
          </w:p>
        </w:tc>
      </w:tr>
      <w:tr w:rsidR="00FC4E8D" w:rsidRPr="00022D22" w14:paraId="3F86D0D1"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D" w14:textId="77777777" w:rsidR="00FC4E8D" w:rsidRPr="00022D22" w:rsidRDefault="00FC4E8D">
            <w:pPr>
              <w:spacing w:line="160" w:lineRule="exact"/>
              <w:rPr>
                <w:sz w:val="16"/>
              </w:rPr>
            </w:pPr>
          </w:p>
          <w:p w14:paraId="3F86D0CE" w14:textId="77777777" w:rsidR="00FC4E8D" w:rsidRPr="00022D22" w:rsidRDefault="001C0864">
            <w:pPr>
              <w:ind w:left="420"/>
              <w:rPr>
                <w:sz w:val="2"/>
              </w:rPr>
            </w:pPr>
            <w:r>
              <w:pict w14:anchorId="3F86D265">
                <v:shape id="_x0000_i1029"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CF" w14:textId="77777777" w:rsidR="00FC4E8D" w:rsidRPr="00022D22" w:rsidRDefault="00D238AB">
            <w:pPr>
              <w:spacing w:before="60" w:after="60" w:line="270" w:lineRule="exact"/>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0" w14:textId="77777777" w:rsidR="00FC4E8D" w:rsidRPr="00022D22" w:rsidRDefault="00D238AB">
            <w:pPr>
              <w:spacing w:before="180" w:after="12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120 jours</w:t>
            </w:r>
          </w:p>
        </w:tc>
      </w:tr>
      <w:tr w:rsidR="00FC4E8D" w:rsidRPr="00022D22" w14:paraId="3F86D0D6"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2" w14:textId="77777777" w:rsidR="00FC4E8D" w:rsidRPr="00022D22" w:rsidRDefault="00FC4E8D">
            <w:pPr>
              <w:spacing w:line="160" w:lineRule="exact"/>
              <w:rPr>
                <w:sz w:val="16"/>
              </w:rPr>
            </w:pPr>
          </w:p>
          <w:p w14:paraId="3F86D0D3" w14:textId="77777777" w:rsidR="00FC4E8D" w:rsidRPr="00022D22" w:rsidRDefault="001C0864">
            <w:pPr>
              <w:ind w:left="420"/>
              <w:rPr>
                <w:sz w:val="2"/>
              </w:rPr>
            </w:pPr>
            <w:r>
              <w:pict w14:anchorId="3F86D266">
                <v:shape id="_x0000_i1030"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4" w14:textId="77777777" w:rsidR="00FC4E8D" w:rsidRPr="00022D22" w:rsidRDefault="00D238AB">
            <w:pPr>
              <w:spacing w:before="60" w:after="60" w:line="270" w:lineRule="exact"/>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5" w14:textId="77777777" w:rsidR="00FC4E8D" w:rsidRPr="00022D22" w:rsidRDefault="00D238AB">
            <w:pPr>
              <w:spacing w:before="60" w:after="60" w:line="270" w:lineRule="exact"/>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Aucune forme de groupement imposée à l'attributaire</w:t>
            </w:r>
          </w:p>
        </w:tc>
      </w:tr>
      <w:tr w:rsidR="00FC4E8D" w:rsidRPr="00022D22" w14:paraId="3F86D0D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7" w14:textId="77777777" w:rsidR="00FC4E8D" w:rsidRPr="00022D22" w:rsidRDefault="00FC4E8D">
            <w:pPr>
              <w:spacing w:line="140" w:lineRule="exact"/>
              <w:rPr>
                <w:sz w:val="14"/>
              </w:rPr>
            </w:pPr>
          </w:p>
          <w:p w14:paraId="3F86D0D8" w14:textId="77777777" w:rsidR="00FC4E8D" w:rsidRPr="00022D22" w:rsidRDefault="001C0864">
            <w:pPr>
              <w:ind w:left="420"/>
              <w:rPr>
                <w:sz w:val="2"/>
              </w:rPr>
            </w:pPr>
            <w:r>
              <w:pict w14:anchorId="3F86D267">
                <v:shape id="_x0000_i1031"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9"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A"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Sans</w:t>
            </w:r>
          </w:p>
        </w:tc>
      </w:tr>
      <w:tr w:rsidR="00FC4E8D" w:rsidRPr="00022D22" w14:paraId="3F86D0E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C" w14:textId="77777777" w:rsidR="00FC4E8D" w:rsidRPr="00022D22" w:rsidRDefault="00FC4E8D">
            <w:pPr>
              <w:spacing w:line="140" w:lineRule="exact"/>
              <w:rPr>
                <w:sz w:val="14"/>
              </w:rPr>
            </w:pPr>
          </w:p>
          <w:p w14:paraId="3F86D0DD" w14:textId="77777777" w:rsidR="00FC4E8D" w:rsidRPr="00022D22" w:rsidRDefault="001C0864">
            <w:pPr>
              <w:ind w:left="420"/>
              <w:rPr>
                <w:sz w:val="2"/>
              </w:rPr>
            </w:pPr>
            <w:r>
              <w:pict w14:anchorId="3F86D268">
                <v:shape id="_x0000_i1032"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E"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DF"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Sans</w:t>
            </w:r>
          </w:p>
        </w:tc>
      </w:tr>
      <w:tr w:rsidR="00FC4E8D" w:rsidRPr="00022D22" w14:paraId="3F86D0E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1" w14:textId="77777777" w:rsidR="00FC4E8D" w:rsidRPr="00022D22" w:rsidRDefault="00FC4E8D">
            <w:pPr>
              <w:spacing w:line="140" w:lineRule="exact"/>
              <w:rPr>
                <w:sz w:val="14"/>
              </w:rPr>
            </w:pPr>
          </w:p>
          <w:p w14:paraId="3F86D0E2" w14:textId="77777777" w:rsidR="00FC4E8D" w:rsidRPr="00022D22" w:rsidRDefault="001C0864">
            <w:pPr>
              <w:ind w:left="420"/>
              <w:rPr>
                <w:sz w:val="2"/>
              </w:rPr>
            </w:pPr>
            <w:r>
              <w:pict w14:anchorId="3F86D269">
                <v:shape id="_x0000_i1033"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3"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4"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Avec</w:t>
            </w:r>
          </w:p>
        </w:tc>
      </w:tr>
      <w:tr w:rsidR="00FC4E8D" w:rsidRPr="00022D22" w14:paraId="3F86D0EA"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6" w14:textId="77777777" w:rsidR="00FC4E8D" w:rsidRPr="00022D22" w:rsidRDefault="00FC4E8D">
            <w:pPr>
              <w:spacing w:line="160" w:lineRule="exact"/>
              <w:rPr>
                <w:sz w:val="16"/>
              </w:rPr>
            </w:pPr>
          </w:p>
          <w:p w14:paraId="3F86D0E7" w14:textId="77777777" w:rsidR="00FC4E8D" w:rsidRPr="00022D22" w:rsidRDefault="001C0864">
            <w:pPr>
              <w:ind w:left="420"/>
              <w:rPr>
                <w:sz w:val="2"/>
              </w:rPr>
            </w:pPr>
            <w:r>
              <w:pict w14:anchorId="3F86D26A">
                <v:shape id="_x0000_i1034"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8" w14:textId="77777777" w:rsidR="00FC4E8D" w:rsidRPr="00022D22" w:rsidRDefault="00D238AB">
            <w:pPr>
              <w:spacing w:before="60" w:after="60" w:line="270" w:lineRule="exact"/>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9" w14:textId="77777777" w:rsidR="00FC4E8D" w:rsidRPr="00022D22" w:rsidRDefault="00D238AB">
            <w:pPr>
              <w:spacing w:before="180" w:after="12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Avec</w:t>
            </w:r>
          </w:p>
        </w:tc>
      </w:tr>
      <w:tr w:rsidR="00FC4E8D" w:rsidRPr="00022D22" w14:paraId="3F86D0E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B" w14:textId="77777777" w:rsidR="00FC4E8D" w:rsidRPr="00022D22" w:rsidRDefault="00FC4E8D">
            <w:pPr>
              <w:spacing w:line="140" w:lineRule="exact"/>
              <w:rPr>
                <w:sz w:val="14"/>
              </w:rPr>
            </w:pPr>
          </w:p>
          <w:p w14:paraId="3F86D0EC" w14:textId="77777777" w:rsidR="00FC4E8D" w:rsidRPr="00022D22" w:rsidRDefault="001C0864">
            <w:pPr>
              <w:ind w:left="420"/>
              <w:rPr>
                <w:sz w:val="2"/>
              </w:rPr>
            </w:pPr>
            <w:r>
              <w:pict w14:anchorId="3F86D26B">
                <v:shape id="_x0000_i1035"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D" w14:textId="77777777" w:rsidR="00FC4E8D" w:rsidRPr="00E714D9" w:rsidRDefault="00D238AB">
            <w:pPr>
              <w:spacing w:before="140" w:after="100"/>
              <w:ind w:left="160" w:right="160"/>
              <w:jc w:val="both"/>
              <w:rPr>
                <w:rFonts w:ascii="Century Gothic" w:eastAsia="Century Gothic" w:hAnsi="Century Gothic" w:cs="Century Gothic"/>
                <w:b/>
                <w:color w:val="000000"/>
                <w:sz w:val="22"/>
              </w:rPr>
            </w:pPr>
            <w:r w:rsidRPr="00E714D9">
              <w:rPr>
                <w:rFonts w:ascii="Century Gothic" w:eastAsia="Century Gothic" w:hAnsi="Century Gothic" w:cs="Century Gothic"/>
                <w:b/>
                <w:color w:val="000000"/>
                <w:sz w:val="22"/>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EE" w14:textId="48FDE07F" w:rsidR="00FC4E8D" w:rsidRPr="00022D22" w:rsidRDefault="00E714D9">
            <w:pPr>
              <w:spacing w:before="140" w:after="100"/>
              <w:ind w:left="160" w:right="16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 xml:space="preserve">12 mois </w:t>
            </w:r>
          </w:p>
        </w:tc>
      </w:tr>
      <w:tr w:rsidR="00FC4E8D" w:rsidRPr="00022D22" w14:paraId="3F86D0F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0" w14:textId="77777777" w:rsidR="00FC4E8D" w:rsidRPr="00022D22" w:rsidRDefault="00FC4E8D">
            <w:pPr>
              <w:spacing w:line="140" w:lineRule="exact"/>
              <w:rPr>
                <w:sz w:val="14"/>
              </w:rPr>
            </w:pPr>
          </w:p>
          <w:p w14:paraId="3F86D0F1" w14:textId="77777777" w:rsidR="00FC4E8D" w:rsidRPr="00022D22" w:rsidRDefault="001C0864">
            <w:pPr>
              <w:ind w:left="420"/>
              <w:rPr>
                <w:sz w:val="2"/>
              </w:rPr>
            </w:pPr>
            <w:r>
              <w:pict w14:anchorId="3F86D26C">
                <v:shape id="_x0000_i1036" type="#_x0000_t75" style="width:18pt;height:18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2"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3"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Avec</w:t>
            </w:r>
          </w:p>
        </w:tc>
      </w:tr>
      <w:tr w:rsidR="00FC4E8D" w:rsidRPr="00022D22" w14:paraId="3F86D0F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5" w14:textId="77777777" w:rsidR="00FC4E8D" w:rsidRPr="00022D22" w:rsidRDefault="00FC4E8D">
            <w:pPr>
              <w:spacing w:line="140" w:lineRule="exact"/>
              <w:rPr>
                <w:sz w:val="14"/>
              </w:rPr>
            </w:pPr>
          </w:p>
          <w:p w14:paraId="3F86D0F6" w14:textId="77777777" w:rsidR="00FC4E8D" w:rsidRPr="00022D22" w:rsidRDefault="001C0864">
            <w:pPr>
              <w:ind w:left="420"/>
              <w:rPr>
                <w:sz w:val="2"/>
              </w:rPr>
            </w:pPr>
            <w:r>
              <w:pict w14:anchorId="3F86D26D">
                <v:shape id="_x0000_i1037" type="#_x0000_t75" style="width:18pt;height:18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7" w14:textId="77777777" w:rsidR="00FC4E8D" w:rsidRPr="00022D22" w:rsidRDefault="00D238AB">
            <w:pPr>
              <w:spacing w:before="140" w:after="100"/>
              <w:ind w:left="160" w:right="160"/>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0F8" w14:textId="77777777" w:rsidR="00FC4E8D" w:rsidRPr="00022D22" w:rsidRDefault="00D238AB">
            <w:pPr>
              <w:spacing w:before="140" w:after="100"/>
              <w:ind w:left="160" w:right="16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Sans</w:t>
            </w:r>
          </w:p>
        </w:tc>
      </w:tr>
    </w:tbl>
    <w:p w14:paraId="3F86D0FA" w14:textId="77777777" w:rsidR="00FC4E8D" w:rsidRPr="00022D22" w:rsidRDefault="00FC4E8D">
      <w:pPr>
        <w:sectPr w:rsidR="00FC4E8D" w:rsidRPr="00022D22">
          <w:pgSz w:w="11900" w:h="16840"/>
          <w:pgMar w:top="1440" w:right="1160" w:bottom="1440" w:left="1140" w:header="1440" w:footer="1440" w:gutter="0"/>
          <w:cols w:space="708"/>
        </w:sectPr>
      </w:pPr>
    </w:p>
    <w:p w14:paraId="3F86D0FB" w14:textId="77777777" w:rsidR="00FC4E8D" w:rsidRPr="00022D22" w:rsidRDefault="00D238AB">
      <w:pPr>
        <w:spacing w:after="60"/>
        <w:jc w:val="center"/>
        <w:rPr>
          <w:rFonts w:ascii="Century Gothic" w:eastAsia="Century Gothic" w:hAnsi="Century Gothic" w:cs="Century Gothic"/>
          <w:b/>
          <w:color w:val="000000"/>
        </w:rPr>
      </w:pPr>
      <w:r w:rsidRPr="00022D22">
        <w:rPr>
          <w:rFonts w:ascii="Century Gothic" w:eastAsia="Century Gothic" w:hAnsi="Century Gothic" w:cs="Century Gothic"/>
          <w:b/>
          <w:color w:val="000000"/>
        </w:rPr>
        <w:lastRenderedPageBreak/>
        <w:t>SOMMAIRE</w:t>
      </w:r>
    </w:p>
    <w:p w14:paraId="3F86D0FC" w14:textId="77777777" w:rsidR="00FC4E8D" w:rsidRPr="00022D22" w:rsidRDefault="00FC4E8D">
      <w:pPr>
        <w:spacing w:after="80" w:line="240" w:lineRule="exact"/>
      </w:pPr>
    </w:p>
    <w:p w14:paraId="234D7A06" w14:textId="2480397D" w:rsidR="000369D5" w:rsidRPr="00022D22" w:rsidRDefault="00D238AB">
      <w:pPr>
        <w:pStyle w:val="TM1"/>
        <w:tabs>
          <w:tab w:val="right" w:leader="dot" w:pos="9610"/>
        </w:tabs>
        <w:rPr>
          <w:rFonts w:asciiTheme="minorHAnsi" w:eastAsiaTheme="minorEastAsia" w:hAnsiTheme="minorHAnsi" w:cstheme="minorBidi"/>
          <w:kern w:val="2"/>
          <w:lang w:eastAsia="fr-FR"/>
          <w14:ligatures w14:val="standardContextual"/>
        </w:rPr>
      </w:pPr>
      <w:r w:rsidRPr="00022D22">
        <w:rPr>
          <w:rFonts w:ascii="Century Gothic" w:eastAsia="Century Gothic" w:hAnsi="Century Gothic" w:cs="Century Gothic"/>
          <w:color w:val="000000"/>
          <w:sz w:val="22"/>
        </w:rPr>
        <w:fldChar w:fldCharType="begin"/>
      </w:r>
      <w:r w:rsidRPr="00022D22">
        <w:rPr>
          <w:rFonts w:ascii="Century Gothic" w:eastAsia="Century Gothic" w:hAnsi="Century Gothic" w:cs="Century Gothic"/>
          <w:color w:val="000000"/>
          <w:sz w:val="22"/>
        </w:rPr>
        <w:instrText xml:space="preserve"> TOC \h </w:instrText>
      </w:r>
      <w:r w:rsidRPr="00022D22">
        <w:rPr>
          <w:rFonts w:ascii="Century Gothic" w:eastAsia="Century Gothic" w:hAnsi="Century Gothic" w:cs="Century Gothic"/>
          <w:color w:val="000000"/>
          <w:sz w:val="22"/>
        </w:rPr>
        <w:fldChar w:fldCharType="separate"/>
      </w:r>
      <w:hyperlink w:anchor="_Toc242256496" w:history="1">
        <w:r w:rsidR="000369D5" w:rsidRPr="00022D22">
          <w:rPr>
            <w:rStyle w:val="Lienhypertexte"/>
            <w:rFonts w:ascii="Century Gothic" w:eastAsia="Century Gothic" w:hAnsi="Century Gothic" w:cs="Century Gothic"/>
          </w:rPr>
          <w:t>1 - Objet et étendue de la consultation</w:t>
        </w:r>
        <w:r w:rsidR="000369D5" w:rsidRPr="00022D22">
          <w:tab/>
        </w:r>
        <w:r w:rsidR="000369D5" w:rsidRPr="00022D22">
          <w:fldChar w:fldCharType="begin"/>
        </w:r>
        <w:r w:rsidR="000369D5" w:rsidRPr="00022D22">
          <w:instrText xml:space="preserve"> PAGEREF _Toc242256496 \h </w:instrText>
        </w:r>
        <w:r w:rsidR="000369D5" w:rsidRPr="00022D22">
          <w:fldChar w:fldCharType="separate"/>
        </w:r>
        <w:r w:rsidR="006771AA">
          <w:rPr>
            <w:noProof/>
          </w:rPr>
          <w:t>4</w:t>
        </w:r>
        <w:r w:rsidR="000369D5" w:rsidRPr="00022D22">
          <w:fldChar w:fldCharType="end"/>
        </w:r>
      </w:hyperlink>
    </w:p>
    <w:p w14:paraId="6E4F0D25" w14:textId="494A2F44"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497" w:history="1">
        <w:r w:rsidRPr="00022D22">
          <w:rPr>
            <w:rStyle w:val="Lienhypertexte"/>
            <w:rFonts w:ascii="Century Gothic" w:eastAsia="Century Gothic" w:hAnsi="Century Gothic" w:cs="Century Gothic"/>
          </w:rPr>
          <w:t>1.1 - Objet</w:t>
        </w:r>
        <w:r w:rsidRPr="00022D22">
          <w:tab/>
        </w:r>
        <w:r w:rsidRPr="00022D22">
          <w:fldChar w:fldCharType="begin"/>
        </w:r>
        <w:r w:rsidRPr="00022D22">
          <w:instrText xml:space="preserve"> PAGEREF _Toc242256497 \h </w:instrText>
        </w:r>
        <w:r w:rsidRPr="00022D22">
          <w:fldChar w:fldCharType="separate"/>
        </w:r>
        <w:r w:rsidR="006771AA">
          <w:rPr>
            <w:noProof/>
          </w:rPr>
          <w:t>4</w:t>
        </w:r>
        <w:r w:rsidRPr="00022D22">
          <w:fldChar w:fldCharType="end"/>
        </w:r>
      </w:hyperlink>
    </w:p>
    <w:p w14:paraId="69B843E4" w14:textId="410D76BA"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498" w:history="1">
        <w:r w:rsidRPr="00022D22">
          <w:rPr>
            <w:rStyle w:val="Lienhypertexte"/>
            <w:rFonts w:ascii="Century Gothic" w:eastAsia="Century Gothic" w:hAnsi="Century Gothic" w:cs="Century Gothic"/>
          </w:rPr>
          <w:t>1.2 - Mode de passation</w:t>
        </w:r>
        <w:r w:rsidRPr="00022D22">
          <w:tab/>
        </w:r>
        <w:r w:rsidRPr="00022D22">
          <w:fldChar w:fldCharType="begin"/>
        </w:r>
        <w:r w:rsidRPr="00022D22">
          <w:instrText xml:space="preserve"> PAGEREF _Toc242256498 \h </w:instrText>
        </w:r>
        <w:r w:rsidRPr="00022D22">
          <w:fldChar w:fldCharType="separate"/>
        </w:r>
        <w:r w:rsidR="006771AA">
          <w:rPr>
            <w:noProof/>
          </w:rPr>
          <w:t>4</w:t>
        </w:r>
        <w:r w:rsidRPr="00022D22">
          <w:fldChar w:fldCharType="end"/>
        </w:r>
      </w:hyperlink>
    </w:p>
    <w:p w14:paraId="5D1180FB" w14:textId="103E9DA4"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499" w:history="1">
        <w:r w:rsidRPr="00022D22">
          <w:rPr>
            <w:rStyle w:val="Lienhypertexte"/>
            <w:rFonts w:ascii="Century Gothic" w:eastAsia="Century Gothic" w:hAnsi="Century Gothic" w:cs="Century Gothic"/>
          </w:rPr>
          <w:t>1.3 - Type et forme de contrat</w:t>
        </w:r>
        <w:r w:rsidRPr="00022D22">
          <w:tab/>
        </w:r>
        <w:r w:rsidRPr="00022D22">
          <w:fldChar w:fldCharType="begin"/>
        </w:r>
        <w:r w:rsidRPr="00022D22">
          <w:instrText xml:space="preserve"> PAGEREF _Toc242256499 \h </w:instrText>
        </w:r>
        <w:r w:rsidRPr="00022D22">
          <w:fldChar w:fldCharType="separate"/>
        </w:r>
        <w:r w:rsidR="006771AA">
          <w:rPr>
            <w:noProof/>
          </w:rPr>
          <w:t>4</w:t>
        </w:r>
        <w:r w:rsidRPr="00022D22">
          <w:fldChar w:fldCharType="end"/>
        </w:r>
      </w:hyperlink>
    </w:p>
    <w:p w14:paraId="038E0065" w14:textId="1FD6C802"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0" w:history="1">
        <w:r w:rsidRPr="00022D22">
          <w:rPr>
            <w:rStyle w:val="Lienhypertexte"/>
            <w:rFonts w:ascii="Century Gothic" w:eastAsia="Century Gothic" w:hAnsi="Century Gothic" w:cs="Century Gothic"/>
          </w:rPr>
          <w:t>1.4 - Décomposition de la consultation</w:t>
        </w:r>
        <w:r w:rsidRPr="00022D22">
          <w:tab/>
        </w:r>
        <w:r w:rsidRPr="00022D22">
          <w:fldChar w:fldCharType="begin"/>
        </w:r>
        <w:r w:rsidRPr="00022D22">
          <w:instrText xml:space="preserve"> PAGEREF _Toc242256500 \h </w:instrText>
        </w:r>
        <w:r w:rsidRPr="00022D22">
          <w:fldChar w:fldCharType="separate"/>
        </w:r>
        <w:r w:rsidR="006771AA">
          <w:rPr>
            <w:noProof/>
          </w:rPr>
          <w:t>4</w:t>
        </w:r>
        <w:r w:rsidRPr="00022D22">
          <w:fldChar w:fldCharType="end"/>
        </w:r>
      </w:hyperlink>
    </w:p>
    <w:p w14:paraId="79B1C2AF" w14:textId="28772947"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1" w:history="1">
        <w:r w:rsidRPr="00022D22">
          <w:rPr>
            <w:rStyle w:val="Lienhypertexte"/>
            <w:rFonts w:ascii="Century Gothic" w:eastAsia="Century Gothic" w:hAnsi="Century Gothic" w:cs="Century Gothic"/>
          </w:rPr>
          <w:t>1.5 – Etendue des prestations</w:t>
        </w:r>
        <w:r w:rsidRPr="00022D22">
          <w:tab/>
        </w:r>
        <w:r w:rsidRPr="00022D22">
          <w:fldChar w:fldCharType="begin"/>
        </w:r>
        <w:r w:rsidRPr="00022D22">
          <w:instrText xml:space="preserve"> PAGEREF _Toc242256501 \h </w:instrText>
        </w:r>
        <w:r w:rsidRPr="00022D22">
          <w:fldChar w:fldCharType="separate"/>
        </w:r>
        <w:r w:rsidR="006771AA">
          <w:rPr>
            <w:noProof/>
          </w:rPr>
          <w:t>4</w:t>
        </w:r>
        <w:r w:rsidRPr="00022D22">
          <w:fldChar w:fldCharType="end"/>
        </w:r>
      </w:hyperlink>
    </w:p>
    <w:p w14:paraId="3386A2EB" w14:textId="412A3F66"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2" w:history="1">
        <w:r w:rsidRPr="00022D22">
          <w:rPr>
            <w:rStyle w:val="Lienhypertexte"/>
            <w:rFonts w:ascii="Century Gothic" w:eastAsia="Century Gothic" w:hAnsi="Century Gothic" w:cs="Century Gothic"/>
          </w:rPr>
          <w:t>1.6 - Nomenclature</w:t>
        </w:r>
        <w:r w:rsidRPr="00022D22">
          <w:tab/>
        </w:r>
        <w:r w:rsidRPr="00022D22">
          <w:fldChar w:fldCharType="begin"/>
        </w:r>
        <w:r w:rsidRPr="00022D22">
          <w:instrText xml:space="preserve"> PAGEREF _Toc242256502 \h </w:instrText>
        </w:r>
        <w:r w:rsidRPr="00022D22">
          <w:fldChar w:fldCharType="separate"/>
        </w:r>
        <w:r w:rsidR="006771AA">
          <w:rPr>
            <w:noProof/>
          </w:rPr>
          <w:t>4</w:t>
        </w:r>
        <w:r w:rsidRPr="00022D22">
          <w:fldChar w:fldCharType="end"/>
        </w:r>
      </w:hyperlink>
    </w:p>
    <w:p w14:paraId="4F24E836" w14:textId="7EA8E245"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03" w:history="1">
        <w:r w:rsidRPr="00022D22">
          <w:rPr>
            <w:rStyle w:val="Lienhypertexte"/>
            <w:rFonts w:ascii="Century Gothic" w:eastAsia="Century Gothic" w:hAnsi="Century Gothic" w:cs="Century Gothic"/>
          </w:rPr>
          <w:t>2 - Conditions de la consultation</w:t>
        </w:r>
        <w:r w:rsidRPr="00022D22">
          <w:tab/>
        </w:r>
        <w:r w:rsidRPr="00022D22">
          <w:fldChar w:fldCharType="begin"/>
        </w:r>
        <w:r w:rsidRPr="00022D22">
          <w:instrText xml:space="preserve"> PAGEREF _Toc242256503 \h </w:instrText>
        </w:r>
        <w:r w:rsidRPr="00022D22">
          <w:fldChar w:fldCharType="separate"/>
        </w:r>
        <w:r w:rsidR="006771AA">
          <w:rPr>
            <w:noProof/>
          </w:rPr>
          <w:t>4</w:t>
        </w:r>
        <w:r w:rsidRPr="00022D22">
          <w:fldChar w:fldCharType="end"/>
        </w:r>
      </w:hyperlink>
    </w:p>
    <w:p w14:paraId="55ED4D76" w14:textId="2B1CDCBA"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4" w:history="1">
        <w:r w:rsidRPr="00022D22">
          <w:rPr>
            <w:rStyle w:val="Lienhypertexte"/>
            <w:rFonts w:ascii="Century Gothic" w:eastAsia="Century Gothic" w:hAnsi="Century Gothic" w:cs="Century Gothic"/>
          </w:rPr>
          <w:t>2.1 - Délai de validité des offres</w:t>
        </w:r>
        <w:r w:rsidRPr="00022D22">
          <w:tab/>
        </w:r>
        <w:r w:rsidRPr="00022D22">
          <w:fldChar w:fldCharType="begin"/>
        </w:r>
        <w:r w:rsidRPr="00022D22">
          <w:instrText xml:space="preserve"> PAGEREF _Toc242256504 \h </w:instrText>
        </w:r>
        <w:r w:rsidRPr="00022D22">
          <w:fldChar w:fldCharType="separate"/>
        </w:r>
        <w:r w:rsidR="006771AA">
          <w:rPr>
            <w:noProof/>
          </w:rPr>
          <w:t>4</w:t>
        </w:r>
        <w:r w:rsidRPr="00022D22">
          <w:fldChar w:fldCharType="end"/>
        </w:r>
      </w:hyperlink>
    </w:p>
    <w:p w14:paraId="0BC18CA6" w14:textId="4C988B2D"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5" w:history="1">
        <w:r w:rsidRPr="00022D22">
          <w:rPr>
            <w:rStyle w:val="Lienhypertexte"/>
            <w:rFonts w:ascii="Century Gothic" w:eastAsia="Century Gothic" w:hAnsi="Century Gothic" w:cs="Century Gothic"/>
          </w:rPr>
          <w:t>2.2 - Forme juridique du groupement</w:t>
        </w:r>
        <w:r w:rsidRPr="00022D22">
          <w:tab/>
        </w:r>
        <w:r w:rsidRPr="00022D22">
          <w:fldChar w:fldCharType="begin"/>
        </w:r>
        <w:r w:rsidRPr="00022D22">
          <w:instrText xml:space="preserve"> PAGEREF _Toc242256505 \h </w:instrText>
        </w:r>
        <w:r w:rsidRPr="00022D22">
          <w:fldChar w:fldCharType="separate"/>
        </w:r>
        <w:r w:rsidR="006771AA">
          <w:rPr>
            <w:noProof/>
          </w:rPr>
          <w:t>4</w:t>
        </w:r>
        <w:r w:rsidRPr="00022D22">
          <w:fldChar w:fldCharType="end"/>
        </w:r>
      </w:hyperlink>
    </w:p>
    <w:p w14:paraId="1B3D7B8C" w14:textId="5032091A"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6" w:history="1">
        <w:r w:rsidRPr="00022D22">
          <w:rPr>
            <w:rStyle w:val="Lienhypertexte"/>
            <w:rFonts w:ascii="Century Gothic" w:eastAsia="Century Gothic" w:hAnsi="Century Gothic" w:cs="Century Gothic"/>
          </w:rPr>
          <w:t>2.3 - Variantes</w:t>
        </w:r>
        <w:r w:rsidRPr="00022D22">
          <w:tab/>
        </w:r>
        <w:r w:rsidRPr="00022D22">
          <w:fldChar w:fldCharType="begin"/>
        </w:r>
        <w:r w:rsidRPr="00022D22">
          <w:instrText xml:space="preserve"> PAGEREF _Toc242256506 \h </w:instrText>
        </w:r>
        <w:r w:rsidRPr="00022D22">
          <w:fldChar w:fldCharType="separate"/>
        </w:r>
        <w:r w:rsidR="006771AA">
          <w:rPr>
            <w:noProof/>
          </w:rPr>
          <w:t>5</w:t>
        </w:r>
        <w:r w:rsidRPr="00022D22">
          <w:fldChar w:fldCharType="end"/>
        </w:r>
      </w:hyperlink>
    </w:p>
    <w:p w14:paraId="20B96907" w14:textId="0C248E4E"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7" w:history="1">
        <w:r w:rsidRPr="00022D22">
          <w:rPr>
            <w:rStyle w:val="Lienhypertexte"/>
            <w:rFonts w:ascii="Century Gothic" w:eastAsia="Century Gothic" w:hAnsi="Century Gothic" w:cs="Century Gothic"/>
          </w:rPr>
          <w:t>2.4 - Développement durable</w:t>
        </w:r>
        <w:r w:rsidRPr="00022D22">
          <w:tab/>
        </w:r>
        <w:r w:rsidRPr="00022D22">
          <w:fldChar w:fldCharType="begin"/>
        </w:r>
        <w:r w:rsidRPr="00022D22">
          <w:instrText xml:space="preserve"> PAGEREF _Toc242256507 \h </w:instrText>
        </w:r>
        <w:r w:rsidRPr="00022D22">
          <w:fldChar w:fldCharType="separate"/>
        </w:r>
        <w:r w:rsidR="006771AA">
          <w:rPr>
            <w:noProof/>
          </w:rPr>
          <w:t>5</w:t>
        </w:r>
        <w:r w:rsidRPr="00022D22">
          <w:fldChar w:fldCharType="end"/>
        </w:r>
      </w:hyperlink>
    </w:p>
    <w:p w14:paraId="03FEE9BE" w14:textId="0BC47566"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08" w:history="1">
        <w:r w:rsidRPr="00022D22">
          <w:rPr>
            <w:rStyle w:val="Lienhypertexte"/>
            <w:rFonts w:ascii="Century Gothic" w:eastAsia="Century Gothic" w:hAnsi="Century Gothic" w:cs="Century Gothic"/>
          </w:rPr>
          <w:t>3 - Les intervenants</w:t>
        </w:r>
        <w:r w:rsidRPr="00022D22">
          <w:tab/>
        </w:r>
        <w:r w:rsidRPr="00022D22">
          <w:fldChar w:fldCharType="begin"/>
        </w:r>
        <w:r w:rsidRPr="00022D22">
          <w:instrText xml:space="preserve"> PAGEREF _Toc242256508 \h </w:instrText>
        </w:r>
        <w:r w:rsidRPr="00022D22">
          <w:fldChar w:fldCharType="separate"/>
        </w:r>
        <w:r w:rsidR="006771AA">
          <w:rPr>
            <w:noProof/>
          </w:rPr>
          <w:t>5</w:t>
        </w:r>
        <w:r w:rsidRPr="00022D22">
          <w:fldChar w:fldCharType="end"/>
        </w:r>
      </w:hyperlink>
    </w:p>
    <w:p w14:paraId="6559DA57" w14:textId="2E8859C0"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09" w:history="1">
        <w:r w:rsidRPr="00022D22">
          <w:rPr>
            <w:rStyle w:val="Lienhypertexte"/>
            <w:rFonts w:ascii="Century Gothic" w:eastAsia="Century Gothic" w:hAnsi="Century Gothic" w:cs="Century Gothic"/>
          </w:rPr>
          <w:t>3.1 - Contrôle technique</w:t>
        </w:r>
        <w:r w:rsidRPr="00022D22">
          <w:tab/>
        </w:r>
        <w:r w:rsidRPr="00022D22">
          <w:fldChar w:fldCharType="begin"/>
        </w:r>
        <w:r w:rsidRPr="00022D22">
          <w:instrText xml:space="preserve"> PAGEREF _Toc242256509 \h </w:instrText>
        </w:r>
        <w:r w:rsidRPr="00022D22">
          <w:fldChar w:fldCharType="separate"/>
        </w:r>
        <w:r w:rsidR="006771AA">
          <w:rPr>
            <w:noProof/>
          </w:rPr>
          <w:t>5</w:t>
        </w:r>
        <w:r w:rsidRPr="00022D22">
          <w:fldChar w:fldCharType="end"/>
        </w:r>
      </w:hyperlink>
    </w:p>
    <w:p w14:paraId="431A1DE9" w14:textId="40EF92E8"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0" w:history="1">
        <w:r w:rsidRPr="00022D22">
          <w:rPr>
            <w:rStyle w:val="Lienhypertexte"/>
            <w:rFonts w:ascii="Century Gothic" w:eastAsia="Century Gothic" w:hAnsi="Century Gothic" w:cs="Century Gothic"/>
          </w:rPr>
          <w:t>3.2 - Sécurité et protection de la santé des travailleurs</w:t>
        </w:r>
        <w:r w:rsidRPr="00022D22">
          <w:tab/>
        </w:r>
        <w:r w:rsidRPr="00022D22">
          <w:fldChar w:fldCharType="begin"/>
        </w:r>
        <w:r w:rsidRPr="00022D22">
          <w:instrText xml:space="preserve"> PAGEREF _Toc242256510 \h </w:instrText>
        </w:r>
        <w:r w:rsidRPr="00022D22">
          <w:fldChar w:fldCharType="separate"/>
        </w:r>
        <w:r w:rsidR="006771AA">
          <w:rPr>
            <w:noProof/>
          </w:rPr>
          <w:t>5</w:t>
        </w:r>
        <w:r w:rsidRPr="00022D22">
          <w:fldChar w:fldCharType="end"/>
        </w:r>
      </w:hyperlink>
    </w:p>
    <w:p w14:paraId="5BFA5978" w14:textId="5598C03A"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11" w:history="1">
        <w:r w:rsidRPr="00022D22">
          <w:rPr>
            <w:rStyle w:val="Lienhypertexte"/>
            <w:rFonts w:ascii="Century Gothic" w:eastAsia="Century Gothic" w:hAnsi="Century Gothic" w:cs="Century Gothic"/>
          </w:rPr>
          <w:t>4 - Conditions relatives au contrat</w:t>
        </w:r>
        <w:r w:rsidRPr="00022D22">
          <w:tab/>
        </w:r>
        <w:r w:rsidRPr="00022D22">
          <w:fldChar w:fldCharType="begin"/>
        </w:r>
        <w:r w:rsidRPr="00022D22">
          <w:instrText xml:space="preserve"> PAGEREF _Toc242256511 \h </w:instrText>
        </w:r>
        <w:r w:rsidRPr="00022D22">
          <w:fldChar w:fldCharType="separate"/>
        </w:r>
        <w:r w:rsidR="006771AA">
          <w:rPr>
            <w:noProof/>
          </w:rPr>
          <w:t>5</w:t>
        </w:r>
        <w:r w:rsidRPr="00022D22">
          <w:fldChar w:fldCharType="end"/>
        </w:r>
      </w:hyperlink>
    </w:p>
    <w:p w14:paraId="2E474B07" w14:textId="5F899A2D"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2" w:history="1">
        <w:r w:rsidRPr="00022D22">
          <w:rPr>
            <w:rStyle w:val="Lienhypertexte"/>
            <w:rFonts w:ascii="Century Gothic" w:eastAsia="Century Gothic" w:hAnsi="Century Gothic" w:cs="Century Gothic"/>
          </w:rPr>
          <w:t>4.1 - Durée du contrat et délai d'exécution</w:t>
        </w:r>
        <w:r w:rsidRPr="00022D22">
          <w:tab/>
        </w:r>
        <w:r w:rsidRPr="00022D22">
          <w:fldChar w:fldCharType="begin"/>
        </w:r>
        <w:r w:rsidRPr="00022D22">
          <w:instrText xml:space="preserve"> PAGEREF _Toc242256512 \h </w:instrText>
        </w:r>
        <w:r w:rsidRPr="00022D22">
          <w:fldChar w:fldCharType="separate"/>
        </w:r>
        <w:r w:rsidR="006771AA">
          <w:rPr>
            <w:noProof/>
          </w:rPr>
          <w:t>5</w:t>
        </w:r>
        <w:r w:rsidRPr="00022D22">
          <w:fldChar w:fldCharType="end"/>
        </w:r>
      </w:hyperlink>
    </w:p>
    <w:p w14:paraId="00161DBE" w14:textId="5CA8C0A3"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3" w:history="1">
        <w:r w:rsidRPr="00022D22">
          <w:rPr>
            <w:rStyle w:val="Lienhypertexte"/>
            <w:rFonts w:ascii="Century Gothic" w:eastAsia="Century Gothic" w:hAnsi="Century Gothic" w:cs="Century Gothic"/>
          </w:rPr>
          <w:t>4.2 - Modalités essentielles de financement et de paiement</w:t>
        </w:r>
        <w:r w:rsidRPr="00022D22">
          <w:tab/>
        </w:r>
        <w:r w:rsidRPr="00022D22">
          <w:fldChar w:fldCharType="begin"/>
        </w:r>
        <w:r w:rsidRPr="00022D22">
          <w:instrText xml:space="preserve"> PAGEREF _Toc242256513 \h </w:instrText>
        </w:r>
        <w:r w:rsidRPr="00022D22">
          <w:fldChar w:fldCharType="separate"/>
        </w:r>
        <w:r w:rsidR="006771AA">
          <w:rPr>
            <w:noProof/>
          </w:rPr>
          <w:t>5</w:t>
        </w:r>
        <w:r w:rsidRPr="00022D22">
          <w:fldChar w:fldCharType="end"/>
        </w:r>
      </w:hyperlink>
    </w:p>
    <w:p w14:paraId="6B7FBF76" w14:textId="1A61C7B8"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4" w:history="1">
        <w:r w:rsidRPr="00022D22">
          <w:rPr>
            <w:rStyle w:val="Lienhypertexte"/>
            <w:rFonts w:ascii="Century Gothic" w:eastAsia="Century Gothic" w:hAnsi="Century Gothic" w:cs="Century Gothic"/>
          </w:rPr>
          <w:t>4.3 - Confidentialité et mesures de sécurité</w:t>
        </w:r>
        <w:r w:rsidRPr="00022D22">
          <w:tab/>
        </w:r>
        <w:r w:rsidRPr="00022D22">
          <w:fldChar w:fldCharType="begin"/>
        </w:r>
        <w:r w:rsidRPr="00022D22">
          <w:instrText xml:space="preserve"> PAGEREF _Toc242256514 \h </w:instrText>
        </w:r>
        <w:r w:rsidRPr="00022D22">
          <w:fldChar w:fldCharType="separate"/>
        </w:r>
        <w:r w:rsidR="006771AA">
          <w:rPr>
            <w:noProof/>
          </w:rPr>
          <w:t>6</w:t>
        </w:r>
        <w:r w:rsidRPr="00022D22">
          <w:fldChar w:fldCharType="end"/>
        </w:r>
      </w:hyperlink>
    </w:p>
    <w:p w14:paraId="1EE10FFA" w14:textId="5718D70F"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15" w:history="1">
        <w:r w:rsidRPr="00022D22">
          <w:rPr>
            <w:rStyle w:val="Lienhypertexte"/>
            <w:rFonts w:ascii="Century Gothic" w:eastAsia="Century Gothic" w:hAnsi="Century Gothic" w:cs="Century Gothic"/>
          </w:rPr>
          <w:t>5 - Contenu du dossier de consultation</w:t>
        </w:r>
        <w:r w:rsidRPr="00022D22">
          <w:tab/>
        </w:r>
        <w:r w:rsidRPr="00022D22">
          <w:fldChar w:fldCharType="begin"/>
        </w:r>
        <w:r w:rsidRPr="00022D22">
          <w:instrText xml:space="preserve"> PAGEREF _Toc242256515 \h </w:instrText>
        </w:r>
        <w:r w:rsidRPr="00022D22">
          <w:fldChar w:fldCharType="separate"/>
        </w:r>
        <w:r w:rsidR="006771AA">
          <w:rPr>
            <w:noProof/>
          </w:rPr>
          <w:t>6</w:t>
        </w:r>
        <w:r w:rsidRPr="00022D22">
          <w:fldChar w:fldCharType="end"/>
        </w:r>
      </w:hyperlink>
    </w:p>
    <w:p w14:paraId="3B2E9F8B" w14:textId="4F40CFA8"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16" w:history="1">
        <w:r w:rsidRPr="00022D22">
          <w:rPr>
            <w:rStyle w:val="Lienhypertexte"/>
            <w:rFonts w:ascii="Century Gothic" w:eastAsia="Century Gothic" w:hAnsi="Century Gothic" w:cs="Century Gothic"/>
          </w:rPr>
          <w:t>6 - Présentation des candidatures et des offres</w:t>
        </w:r>
        <w:r w:rsidRPr="00022D22">
          <w:tab/>
        </w:r>
        <w:r w:rsidRPr="00022D22">
          <w:fldChar w:fldCharType="begin"/>
        </w:r>
        <w:r w:rsidRPr="00022D22">
          <w:instrText xml:space="preserve"> PAGEREF _Toc242256516 \h </w:instrText>
        </w:r>
        <w:r w:rsidRPr="00022D22">
          <w:fldChar w:fldCharType="separate"/>
        </w:r>
        <w:r w:rsidR="006771AA">
          <w:rPr>
            <w:noProof/>
          </w:rPr>
          <w:t>6</w:t>
        </w:r>
        <w:r w:rsidRPr="00022D22">
          <w:fldChar w:fldCharType="end"/>
        </w:r>
      </w:hyperlink>
    </w:p>
    <w:p w14:paraId="06AB7A68" w14:textId="23DF4BEC"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7" w:history="1">
        <w:r w:rsidRPr="00022D22">
          <w:rPr>
            <w:rStyle w:val="Lienhypertexte"/>
            <w:rFonts w:ascii="Century Gothic" w:eastAsia="Century Gothic" w:hAnsi="Century Gothic" w:cs="Century Gothic"/>
          </w:rPr>
          <w:t>6.1 - Documents à produire</w:t>
        </w:r>
        <w:r w:rsidRPr="00022D22">
          <w:tab/>
        </w:r>
        <w:r w:rsidRPr="00022D22">
          <w:fldChar w:fldCharType="begin"/>
        </w:r>
        <w:r w:rsidRPr="00022D22">
          <w:instrText xml:space="preserve"> PAGEREF _Toc242256517 \h </w:instrText>
        </w:r>
        <w:r w:rsidRPr="00022D22">
          <w:fldChar w:fldCharType="separate"/>
        </w:r>
        <w:r w:rsidR="006771AA">
          <w:rPr>
            <w:noProof/>
          </w:rPr>
          <w:t>7</w:t>
        </w:r>
        <w:r w:rsidRPr="00022D22">
          <w:fldChar w:fldCharType="end"/>
        </w:r>
      </w:hyperlink>
    </w:p>
    <w:p w14:paraId="7B839243" w14:textId="1B54102A"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18" w:history="1">
        <w:r w:rsidRPr="00022D22">
          <w:rPr>
            <w:rStyle w:val="Lienhypertexte"/>
            <w:rFonts w:ascii="Century Gothic" w:eastAsia="Century Gothic" w:hAnsi="Century Gothic" w:cs="Century Gothic"/>
          </w:rPr>
          <w:t>7 - Conditions d'envoi ou de remise des plis</w:t>
        </w:r>
        <w:r w:rsidRPr="00022D22">
          <w:tab/>
        </w:r>
        <w:r w:rsidRPr="00022D22">
          <w:fldChar w:fldCharType="begin"/>
        </w:r>
        <w:r w:rsidRPr="00022D22">
          <w:instrText xml:space="preserve"> PAGEREF _Toc242256518 \h </w:instrText>
        </w:r>
        <w:r w:rsidRPr="00022D22">
          <w:fldChar w:fldCharType="separate"/>
        </w:r>
        <w:r w:rsidR="006771AA">
          <w:rPr>
            <w:noProof/>
          </w:rPr>
          <w:t>8</w:t>
        </w:r>
        <w:r w:rsidRPr="00022D22">
          <w:fldChar w:fldCharType="end"/>
        </w:r>
      </w:hyperlink>
    </w:p>
    <w:p w14:paraId="018F142C" w14:textId="3C569D23"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19" w:history="1">
        <w:r w:rsidRPr="00022D22">
          <w:rPr>
            <w:rStyle w:val="Lienhypertexte"/>
            <w:rFonts w:ascii="Century Gothic" w:eastAsia="Century Gothic" w:hAnsi="Century Gothic" w:cs="Century Gothic"/>
          </w:rPr>
          <w:t>7.1 - Transmission électronique</w:t>
        </w:r>
        <w:r w:rsidRPr="00022D22">
          <w:tab/>
        </w:r>
        <w:r w:rsidRPr="00022D22">
          <w:fldChar w:fldCharType="begin"/>
        </w:r>
        <w:r w:rsidRPr="00022D22">
          <w:instrText xml:space="preserve"> PAGEREF _Toc242256519 \h </w:instrText>
        </w:r>
        <w:r w:rsidRPr="00022D22">
          <w:fldChar w:fldCharType="separate"/>
        </w:r>
        <w:r w:rsidR="006771AA">
          <w:rPr>
            <w:noProof/>
          </w:rPr>
          <w:t>8</w:t>
        </w:r>
        <w:r w:rsidRPr="00022D22">
          <w:fldChar w:fldCharType="end"/>
        </w:r>
      </w:hyperlink>
    </w:p>
    <w:p w14:paraId="69058AF6" w14:textId="11F91240"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0" w:history="1">
        <w:r w:rsidRPr="00022D22">
          <w:rPr>
            <w:rStyle w:val="Lienhypertexte"/>
            <w:rFonts w:ascii="Century Gothic" w:eastAsia="Century Gothic" w:hAnsi="Century Gothic" w:cs="Century Gothic"/>
          </w:rPr>
          <w:t>7.2 - Transmission sous support papier</w:t>
        </w:r>
        <w:r w:rsidRPr="00022D22">
          <w:tab/>
        </w:r>
        <w:r w:rsidRPr="00022D22">
          <w:fldChar w:fldCharType="begin"/>
        </w:r>
        <w:r w:rsidRPr="00022D22">
          <w:instrText xml:space="preserve"> PAGEREF _Toc242256520 \h </w:instrText>
        </w:r>
        <w:r w:rsidRPr="00022D22">
          <w:fldChar w:fldCharType="separate"/>
        </w:r>
        <w:r w:rsidR="006771AA">
          <w:rPr>
            <w:noProof/>
          </w:rPr>
          <w:t>10</w:t>
        </w:r>
        <w:r w:rsidRPr="00022D22">
          <w:fldChar w:fldCharType="end"/>
        </w:r>
      </w:hyperlink>
    </w:p>
    <w:p w14:paraId="14B0FB4D" w14:textId="30D135D1"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21" w:history="1">
        <w:r w:rsidRPr="00022D22">
          <w:rPr>
            <w:rStyle w:val="Lienhypertexte"/>
            <w:rFonts w:ascii="Century Gothic" w:eastAsia="Century Gothic" w:hAnsi="Century Gothic" w:cs="Century Gothic"/>
          </w:rPr>
          <w:t>8 - Examen des candidatures et des offres</w:t>
        </w:r>
        <w:r w:rsidRPr="00022D22">
          <w:tab/>
        </w:r>
        <w:r w:rsidRPr="00022D22">
          <w:fldChar w:fldCharType="begin"/>
        </w:r>
        <w:r w:rsidRPr="00022D22">
          <w:instrText xml:space="preserve"> PAGEREF _Toc242256521 \h </w:instrText>
        </w:r>
        <w:r w:rsidRPr="00022D22">
          <w:fldChar w:fldCharType="separate"/>
        </w:r>
        <w:r w:rsidR="006771AA">
          <w:rPr>
            <w:noProof/>
          </w:rPr>
          <w:t>11</w:t>
        </w:r>
        <w:r w:rsidRPr="00022D22">
          <w:fldChar w:fldCharType="end"/>
        </w:r>
      </w:hyperlink>
    </w:p>
    <w:p w14:paraId="64A5888B" w14:textId="5B51D481"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2" w:history="1">
        <w:r w:rsidRPr="00022D22">
          <w:rPr>
            <w:rStyle w:val="Lienhypertexte"/>
            <w:rFonts w:ascii="Century Gothic" w:eastAsia="Century Gothic" w:hAnsi="Century Gothic" w:cs="Century Gothic"/>
          </w:rPr>
          <w:t>8.1 - Sélection des candidatures</w:t>
        </w:r>
        <w:r w:rsidRPr="00022D22">
          <w:tab/>
        </w:r>
        <w:r w:rsidRPr="00022D22">
          <w:fldChar w:fldCharType="begin"/>
        </w:r>
        <w:r w:rsidRPr="00022D22">
          <w:instrText xml:space="preserve"> PAGEREF _Toc242256522 \h </w:instrText>
        </w:r>
        <w:r w:rsidRPr="00022D22">
          <w:fldChar w:fldCharType="separate"/>
        </w:r>
        <w:r w:rsidR="006771AA">
          <w:rPr>
            <w:noProof/>
          </w:rPr>
          <w:t>11</w:t>
        </w:r>
        <w:r w:rsidRPr="00022D22">
          <w:fldChar w:fldCharType="end"/>
        </w:r>
      </w:hyperlink>
    </w:p>
    <w:p w14:paraId="3D7438F4" w14:textId="074FFF78"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3" w:history="1">
        <w:r w:rsidRPr="00022D22">
          <w:rPr>
            <w:rStyle w:val="Lienhypertexte"/>
            <w:rFonts w:ascii="Century Gothic" w:eastAsia="Century Gothic" w:hAnsi="Century Gothic" w:cs="Century Gothic"/>
          </w:rPr>
          <w:t>8.2 - Attribution des accords-cadres</w:t>
        </w:r>
        <w:r w:rsidRPr="00022D22">
          <w:tab/>
        </w:r>
        <w:r w:rsidRPr="00022D22">
          <w:fldChar w:fldCharType="begin"/>
        </w:r>
        <w:r w:rsidRPr="00022D22">
          <w:instrText xml:space="preserve"> PAGEREF _Toc242256523 \h </w:instrText>
        </w:r>
        <w:r w:rsidRPr="00022D22">
          <w:fldChar w:fldCharType="separate"/>
        </w:r>
        <w:r w:rsidR="006771AA">
          <w:rPr>
            <w:noProof/>
          </w:rPr>
          <w:t>11</w:t>
        </w:r>
        <w:r w:rsidRPr="00022D22">
          <w:fldChar w:fldCharType="end"/>
        </w:r>
      </w:hyperlink>
    </w:p>
    <w:p w14:paraId="2EB9B72B" w14:textId="118C0ADA"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4" w:history="1">
        <w:r w:rsidRPr="00022D22">
          <w:rPr>
            <w:rStyle w:val="Lienhypertexte"/>
            <w:rFonts w:ascii="Century Gothic" w:eastAsia="Century Gothic" w:hAnsi="Century Gothic" w:cs="Century Gothic"/>
          </w:rPr>
          <w:t>8.3 - Négociation</w:t>
        </w:r>
        <w:r w:rsidRPr="00022D22">
          <w:tab/>
        </w:r>
        <w:r w:rsidRPr="00022D22">
          <w:fldChar w:fldCharType="begin"/>
        </w:r>
        <w:r w:rsidRPr="00022D22">
          <w:instrText xml:space="preserve"> PAGEREF _Toc242256524 \h </w:instrText>
        </w:r>
        <w:r w:rsidRPr="00022D22">
          <w:fldChar w:fldCharType="separate"/>
        </w:r>
        <w:r w:rsidR="006771AA">
          <w:rPr>
            <w:noProof/>
          </w:rPr>
          <w:t>12</w:t>
        </w:r>
        <w:r w:rsidRPr="00022D22">
          <w:fldChar w:fldCharType="end"/>
        </w:r>
      </w:hyperlink>
    </w:p>
    <w:p w14:paraId="25B4ADE3" w14:textId="580B0B39"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5" w:history="1">
        <w:r w:rsidRPr="00022D22">
          <w:rPr>
            <w:rStyle w:val="Lienhypertexte"/>
            <w:rFonts w:ascii="Century Gothic" w:eastAsia="Century Gothic" w:hAnsi="Century Gothic" w:cs="Century Gothic"/>
          </w:rPr>
          <w:t>8.4 - Suite à donner à la consultation</w:t>
        </w:r>
        <w:r w:rsidRPr="00022D22">
          <w:tab/>
        </w:r>
        <w:r w:rsidRPr="00022D22">
          <w:fldChar w:fldCharType="begin"/>
        </w:r>
        <w:r w:rsidRPr="00022D22">
          <w:instrText xml:space="preserve"> PAGEREF _Toc242256525 \h </w:instrText>
        </w:r>
        <w:r w:rsidRPr="00022D22">
          <w:fldChar w:fldCharType="separate"/>
        </w:r>
        <w:r w:rsidR="006771AA">
          <w:rPr>
            <w:noProof/>
          </w:rPr>
          <w:t>12</w:t>
        </w:r>
        <w:r w:rsidRPr="00022D22">
          <w:fldChar w:fldCharType="end"/>
        </w:r>
      </w:hyperlink>
    </w:p>
    <w:p w14:paraId="1F7F98F6" w14:textId="1CF3F33D" w:rsidR="000369D5" w:rsidRPr="00022D22" w:rsidRDefault="000369D5">
      <w:pPr>
        <w:pStyle w:val="TM1"/>
        <w:tabs>
          <w:tab w:val="right" w:leader="dot" w:pos="9610"/>
        </w:tabs>
        <w:rPr>
          <w:rFonts w:asciiTheme="minorHAnsi" w:eastAsiaTheme="minorEastAsia" w:hAnsiTheme="minorHAnsi" w:cstheme="minorBidi"/>
          <w:kern w:val="2"/>
          <w:lang w:eastAsia="fr-FR"/>
          <w14:ligatures w14:val="standardContextual"/>
        </w:rPr>
      </w:pPr>
      <w:hyperlink w:anchor="_Toc242256526" w:history="1">
        <w:r w:rsidRPr="00022D22">
          <w:rPr>
            <w:rStyle w:val="Lienhypertexte"/>
            <w:rFonts w:ascii="Century Gothic" w:eastAsia="Century Gothic" w:hAnsi="Century Gothic" w:cs="Century Gothic"/>
          </w:rPr>
          <w:t>9 - Renseignements complémentaires</w:t>
        </w:r>
        <w:r w:rsidRPr="00022D22">
          <w:tab/>
        </w:r>
        <w:r w:rsidRPr="00022D22">
          <w:fldChar w:fldCharType="begin"/>
        </w:r>
        <w:r w:rsidRPr="00022D22">
          <w:instrText xml:space="preserve"> PAGEREF _Toc242256526 \h </w:instrText>
        </w:r>
        <w:r w:rsidRPr="00022D22">
          <w:fldChar w:fldCharType="separate"/>
        </w:r>
        <w:r w:rsidR="006771AA">
          <w:rPr>
            <w:noProof/>
          </w:rPr>
          <w:t>13</w:t>
        </w:r>
        <w:r w:rsidRPr="00022D22">
          <w:fldChar w:fldCharType="end"/>
        </w:r>
      </w:hyperlink>
    </w:p>
    <w:p w14:paraId="7D1BD162" w14:textId="558A06E2"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7" w:history="1">
        <w:r w:rsidRPr="00022D22">
          <w:rPr>
            <w:rStyle w:val="Lienhypertexte"/>
            <w:rFonts w:ascii="Century Gothic" w:eastAsia="Century Gothic" w:hAnsi="Century Gothic" w:cs="Century Gothic"/>
          </w:rPr>
          <w:t>9.1 - Adresses supplémentaires et points de contact</w:t>
        </w:r>
        <w:r w:rsidRPr="00022D22">
          <w:tab/>
        </w:r>
        <w:r w:rsidRPr="00022D22">
          <w:fldChar w:fldCharType="begin"/>
        </w:r>
        <w:r w:rsidRPr="00022D22">
          <w:instrText xml:space="preserve"> PAGEREF _Toc242256527 \h </w:instrText>
        </w:r>
        <w:r w:rsidRPr="00022D22">
          <w:fldChar w:fldCharType="separate"/>
        </w:r>
        <w:r w:rsidR="006771AA">
          <w:rPr>
            <w:noProof/>
          </w:rPr>
          <w:t>13</w:t>
        </w:r>
        <w:r w:rsidRPr="00022D22">
          <w:fldChar w:fldCharType="end"/>
        </w:r>
      </w:hyperlink>
    </w:p>
    <w:p w14:paraId="2F3C8966" w14:textId="7481DBD3" w:rsidR="000369D5" w:rsidRPr="00022D22" w:rsidRDefault="000369D5">
      <w:pPr>
        <w:pStyle w:val="TM2"/>
        <w:tabs>
          <w:tab w:val="right" w:leader="dot" w:pos="9610"/>
        </w:tabs>
        <w:rPr>
          <w:rFonts w:asciiTheme="minorHAnsi" w:eastAsiaTheme="minorEastAsia" w:hAnsiTheme="minorHAnsi" w:cstheme="minorBidi"/>
          <w:kern w:val="2"/>
          <w:lang w:eastAsia="fr-FR"/>
          <w14:ligatures w14:val="standardContextual"/>
        </w:rPr>
      </w:pPr>
      <w:hyperlink w:anchor="_Toc242256528" w:history="1">
        <w:r w:rsidRPr="00022D22">
          <w:rPr>
            <w:rStyle w:val="Lienhypertexte"/>
            <w:rFonts w:ascii="Century Gothic" w:eastAsia="Century Gothic" w:hAnsi="Century Gothic" w:cs="Century Gothic"/>
          </w:rPr>
          <w:t>9.2 - Procédures de recours</w:t>
        </w:r>
        <w:r w:rsidRPr="00022D22">
          <w:tab/>
        </w:r>
        <w:r w:rsidRPr="00022D22">
          <w:fldChar w:fldCharType="begin"/>
        </w:r>
        <w:r w:rsidRPr="00022D22">
          <w:instrText xml:space="preserve"> PAGEREF _Toc242256528 \h </w:instrText>
        </w:r>
        <w:r w:rsidRPr="00022D22">
          <w:fldChar w:fldCharType="separate"/>
        </w:r>
        <w:r w:rsidR="006771AA">
          <w:rPr>
            <w:noProof/>
          </w:rPr>
          <w:t>13</w:t>
        </w:r>
        <w:r w:rsidRPr="00022D22">
          <w:fldChar w:fldCharType="end"/>
        </w:r>
      </w:hyperlink>
    </w:p>
    <w:p w14:paraId="3F86D11D" w14:textId="406FDE01" w:rsidR="00FC4E8D" w:rsidRPr="00022D22" w:rsidRDefault="00D238AB">
      <w:pPr>
        <w:spacing w:after="80"/>
        <w:jc w:val="both"/>
        <w:rPr>
          <w:rFonts w:ascii="Century Gothic" w:eastAsia="Century Gothic" w:hAnsi="Century Gothic" w:cs="Century Gothic"/>
          <w:color w:val="000000"/>
          <w:sz w:val="22"/>
        </w:rPr>
        <w:sectPr w:rsidR="00FC4E8D" w:rsidRPr="00022D22">
          <w:pgSz w:w="11900" w:h="16840"/>
          <w:pgMar w:top="1140" w:right="1140" w:bottom="1440" w:left="1140" w:header="1140" w:footer="1440" w:gutter="0"/>
          <w:cols w:space="708"/>
        </w:sectPr>
      </w:pPr>
      <w:r w:rsidRPr="00022D22">
        <w:rPr>
          <w:rFonts w:ascii="Century Gothic" w:eastAsia="Century Gothic" w:hAnsi="Century Gothic" w:cs="Century Gothic"/>
          <w:color w:val="000000"/>
          <w:sz w:val="22"/>
        </w:rPr>
        <w:fldChar w:fldCharType="end"/>
      </w:r>
    </w:p>
    <w:p w14:paraId="3F86D11E"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0" w:name="ArtL1_RC-2-A2"/>
      <w:bookmarkStart w:id="1" w:name="_Toc242256496"/>
      <w:bookmarkEnd w:id="0"/>
      <w:r w:rsidRPr="00022D22">
        <w:rPr>
          <w:rFonts w:ascii="Century Gothic" w:eastAsia="Century Gothic" w:hAnsi="Century Gothic" w:cs="Century Gothic"/>
          <w:color w:val="FFFFFF"/>
          <w:sz w:val="28"/>
        </w:rPr>
        <w:lastRenderedPageBreak/>
        <w:t>1 - Objet et étendue de la consultation</w:t>
      </w:r>
      <w:bookmarkEnd w:id="1"/>
    </w:p>
    <w:p w14:paraId="3F86D11F" w14:textId="77777777" w:rsidR="00FC4E8D" w:rsidRPr="00022D22" w:rsidRDefault="00D238AB">
      <w:pPr>
        <w:spacing w:line="60" w:lineRule="exact"/>
        <w:rPr>
          <w:sz w:val="6"/>
        </w:rPr>
      </w:pPr>
      <w:r w:rsidRPr="00022D22">
        <w:t xml:space="preserve"> </w:t>
      </w:r>
    </w:p>
    <w:p w14:paraId="3F86D120"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2" w:name="ArtL2_RC-2-A2.1"/>
      <w:bookmarkStart w:id="3" w:name="_Toc242256497"/>
      <w:bookmarkEnd w:id="2"/>
      <w:r w:rsidRPr="00022D22">
        <w:rPr>
          <w:rFonts w:ascii="Century Gothic" w:eastAsia="Century Gothic" w:hAnsi="Century Gothic" w:cs="Century Gothic"/>
          <w:i w:val="0"/>
          <w:color w:val="000000"/>
          <w:sz w:val="24"/>
        </w:rPr>
        <w:t>1.1 - Objet</w:t>
      </w:r>
      <w:bookmarkEnd w:id="3"/>
    </w:p>
    <w:p w14:paraId="3F86D121" w14:textId="77777777" w:rsidR="00FC4E8D" w:rsidRPr="00022D22" w:rsidRDefault="00D238AB">
      <w:pPr>
        <w:pStyle w:val="ParagrapheIndent2"/>
        <w:spacing w:line="270" w:lineRule="exact"/>
        <w:jc w:val="both"/>
        <w:rPr>
          <w:color w:val="000000"/>
        </w:rPr>
      </w:pPr>
      <w:r w:rsidRPr="00022D22">
        <w:rPr>
          <w:color w:val="000000"/>
        </w:rPr>
        <w:t>La présente consultation concerne :</w:t>
      </w:r>
    </w:p>
    <w:p w14:paraId="3F86D122" w14:textId="77777777" w:rsidR="00FC4E8D" w:rsidRPr="00022D22" w:rsidRDefault="00D238AB">
      <w:pPr>
        <w:pStyle w:val="ParagrapheIndent2"/>
        <w:spacing w:after="240" w:line="270" w:lineRule="exact"/>
        <w:jc w:val="both"/>
        <w:rPr>
          <w:color w:val="000000"/>
        </w:rPr>
      </w:pPr>
      <w:r w:rsidRPr="00022D22">
        <w:rPr>
          <w:color w:val="000000"/>
        </w:rPr>
        <w:t>Accord-cadre à bons de commande relatif à la fourniture et la pose de clôtures industrielles dans les espaces verts de la Ville de Perpignan</w:t>
      </w:r>
    </w:p>
    <w:p w14:paraId="3F86D123" w14:textId="77777777" w:rsidR="00FC4E8D" w:rsidRPr="00022D22" w:rsidRDefault="00D238AB">
      <w:pPr>
        <w:pStyle w:val="ParagrapheIndent2"/>
        <w:spacing w:line="270" w:lineRule="exact"/>
        <w:jc w:val="both"/>
        <w:rPr>
          <w:color w:val="000000"/>
        </w:rPr>
      </w:pPr>
      <w:r w:rsidRPr="00022D22">
        <w:rPr>
          <w:color w:val="000000"/>
        </w:rPr>
        <w:t>Lieu(x) d'exécution :</w:t>
      </w:r>
    </w:p>
    <w:p w14:paraId="3F86D125" w14:textId="2F7848A6" w:rsidR="00FC4E8D" w:rsidRPr="00022D22" w:rsidRDefault="00D238AB" w:rsidP="000563DD">
      <w:pPr>
        <w:pStyle w:val="ParagrapheIndent2"/>
        <w:spacing w:line="270" w:lineRule="exact"/>
        <w:jc w:val="both"/>
        <w:rPr>
          <w:color w:val="000000"/>
        </w:rPr>
      </w:pPr>
      <w:r w:rsidRPr="00022D22">
        <w:rPr>
          <w:color w:val="000000"/>
        </w:rPr>
        <w:t>Ville de Perpignan</w:t>
      </w:r>
    </w:p>
    <w:p w14:paraId="58554125" w14:textId="77777777" w:rsidR="000563DD" w:rsidRPr="00022D22" w:rsidRDefault="000563DD" w:rsidP="000563DD"/>
    <w:p w14:paraId="3F86D126"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4" w:name="ArtL2_RC-2-A2.3"/>
      <w:bookmarkStart w:id="5" w:name="_Toc242256498"/>
      <w:bookmarkEnd w:id="4"/>
      <w:r w:rsidRPr="00022D22">
        <w:rPr>
          <w:rFonts w:ascii="Century Gothic" w:eastAsia="Century Gothic" w:hAnsi="Century Gothic" w:cs="Century Gothic"/>
          <w:i w:val="0"/>
          <w:color w:val="000000"/>
          <w:sz w:val="24"/>
        </w:rPr>
        <w:t>1.2 - Mode de passation</w:t>
      </w:r>
      <w:bookmarkEnd w:id="5"/>
    </w:p>
    <w:p w14:paraId="3F86D127" w14:textId="2165C1A0" w:rsidR="00FC4E8D" w:rsidRPr="00022D22" w:rsidRDefault="00D238AB">
      <w:pPr>
        <w:pStyle w:val="ParagrapheIndent2"/>
        <w:spacing w:after="240" w:line="270" w:lineRule="exact"/>
        <w:jc w:val="both"/>
        <w:rPr>
          <w:color w:val="000000"/>
        </w:rPr>
      </w:pPr>
      <w:r w:rsidRPr="00022D22">
        <w:rPr>
          <w:color w:val="000000"/>
        </w:rPr>
        <w:t xml:space="preserve">La procédure de passation utilisée est : la procédure adaptée ouverte. Elle est soumise aux dispositions des articles L. 2123-1 et R. 2123-1 1° du Code de la </w:t>
      </w:r>
      <w:r w:rsidR="004E4B25" w:rsidRPr="00022D22">
        <w:rPr>
          <w:color w:val="000000"/>
        </w:rPr>
        <w:t>C</w:t>
      </w:r>
      <w:r w:rsidRPr="00022D22">
        <w:rPr>
          <w:color w:val="000000"/>
        </w:rPr>
        <w:t xml:space="preserve">ommande </w:t>
      </w:r>
      <w:r w:rsidR="004E4B25" w:rsidRPr="00022D22">
        <w:rPr>
          <w:color w:val="000000"/>
        </w:rPr>
        <w:t>P</w:t>
      </w:r>
      <w:r w:rsidRPr="00022D22">
        <w:rPr>
          <w:color w:val="000000"/>
        </w:rPr>
        <w:t>ublique.</w:t>
      </w:r>
    </w:p>
    <w:p w14:paraId="3F86D128"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6" w:name="ArtL2_RC-2-A2.4"/>
      <w:bookmarkStart w:id="7" w:name="_Toc242256499"/>
      <w:bookmarkEnd w:id="6"/>
      <w:r w:rsidRPr="00022D22">
        <w:rPr>
          <w:rFonts w:ascii="Century Gothic" w:eastAsia="Century Gothic" w:hAnsi="Century Gothic" w:cs="Century Gothic"/>
          <w:i w:val="0"/>
          <w:color w:val="000000"/>
          <w:sz w:val="24"/>
        </w:rPr>
        <w:t>1.3 - Type et forme de contrat</w:t>
      </w:r>
      <w:bookmarkEnd w:id="7"/>
    </w:p>
    <w:p w14:paraId="3F86D129" w14:textId="349250D9" w:rsidR="00FC4E8D" w:rsidRPr="00022D22" w:rsidRDefault="00D238AB">
      <w:pPr>
        <w:pStyle w:val="ParagrapheIndent2"/>
        <w:spacing w:after="240" w:line="270" w:lineRule="exact"/>
        <w:jc w:val="both"/>
        <w:rPr>
          <w:color w:val="000000"/>
        </w:rPr>
      </w:pPr>
      <w:r w:rsidRPr="00022D22">
        <w:rPr>
          <w:color w:val="000000"/>
        </w:rPr>
        <w:t xml:space="preserve">L'accord-cadre avec maximum est passé en application des articles L2125-1 1°, R. 2162-1 à R. 2162-6, R. 2162-13 et R. 2162-14 du Code de la </w:t>
      </w:r>
      <w:r w:rsidR="004E4B25" w:rsidRPr="00022D22">
        <w:rPr>
          <w:color w:val="000000"/>
        </w:rPr>
        <w:t>C</w:t>
      </w:r>
      <w:r w:rsidRPr="00022D22">
        <w:rPr>
          <w:color w:val="000000"/>
        </w:rPr>
        <w:t xml:space="preserve">ommande </w:t>
      </w:r>
      <w:r w:rsidR="004E4B25" w:rsidRPr="00022D22">
        <w:rPr>
          <w:color w:val="000000"/>
        </w:rPr>
        <w:t>P</w:t>
      </w:r>
      <w:r w:rsidRPr="00022D22">
        <w:rPr>
          <w:color w:val="000000"/>
        </w:rPr>
        <w:t>ublique. Il donnera lieu à l'émission de bons de commande.</w:t>
      </w:r>
    </w:p>
    <w:p w14:paraId="3F86D12A"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8" w:name="ArtL2_RC-2-A2.5"/>
      <w:bookmarkStart w:id="9" w:name="_Toc242256500"/>
      <w:bookmarkEnd w:id="8"/>
      <w:r w:rsidRPr="00022D22">
        <w:rPr>
          <w:rFonts w:ascii="Century Gothic" w:eastAsia="Century Gothic" w:hAnsi="Century Gothic" w:cs="Century Gothic"/>
          <w:i w:val="0"/>
          <w:color w:val="000000"/>
          <w:sz w:val="24"/>
        </w:rPr>
        <w:t>1.4 - Décomposition de la consultation</w:t>
      </w:r>
      <w:bookmarkEnd w:id="9"/>
    </w:p>
    <w:p w14:paraId="3F86D12B" w14:textId="77777777" w:rsidR="00FC4E8D" w:rsidRPr="00022D22" w:rsidRDefault="00D238AB">
      <w:pPr>
        <w:pStyle w:val="ParagrapheIndent2"/>
        <w:spacing w:after="240"/>
        <w:jc w:val="both"/>
        <w:rPr>
          <w:color w:val="000000"/>
        </w:rPr>
      </w:pPr>
      <w:r w:rsidRPr="00022D22">
        <w:rPr>
          <w:color w:val="000000"/>
        </w:rPr>
        <w:t>Il n'est pas prévu de décomposition en lots.</w:t>
      </w:r>
    </w:p>
    <w:p w14:paraId="3F86D12C" w14:textId="53A7E486" w:rsidR="00FC4E8D" w:rsidRPr="00022D22" w:rsidRDefault="00D238AB">
      <w:pPr>
        <w:pStyle w:val="ParagrapheIndent2"/>
        <w:spacing w:after="240" w:line="270" w:lineRule="exact"/>
        <w:jc w:val="both"/>
        <w:rPr>
          <w:color w:val="000000"/>
        </w:rPr>
      </w:pPr>
      <w:r w:rsidRPr="00022D22">
        <w:rPr>
          <w:color w:val="000000"/>
        </w:rPr>
        <w:t>Le pouvoir adjudicateur a décidé de ne pas lancer la consultation en lots séparés pour les motifs suivants : les prestations sont non distinctes au regard de l’objet de l'accord-cadre.</w:t>
      </w:r>
    </w:p>
    <w:p w14:paraId="3565E1BF" w14:textId="4ED2FEE2" w:rsidR="00A8475F" w:rsidRPr="00022D22" w:rsidRDefault="00A8475F" w:rsidP="00A8475F">
      <w:pPr>
        <w:pStyle w:val="Titre2"/>
        <w:ind w:left="280"/>
        <w:jc w:val="both"/>
        <w:rPr>
          <w:rFonts w:ascii="Century Gothic" w:eastAsia="Century Gothic" w:hAnsi="Century Gothic" w:cs="Century Gothic"/>
          <w:i w:val="0"/>
          <w:color w:val="000000"/>
          <w:sz w:val="24"/>
        </w:rPr>
      </w:pPr>
      <w:bookmarkStart w:id="10" w:name="_Toc242256501"/>
      <w:r w:rsidRPr="00022D22">
        <w:rPr>
          <w:rFonts w:ascii="Century Gothic" w:eastAsia="Century Gothic" w:hAnsi="Century Gothic" w:cs="Century Gothic"/>
          <w:i w:val="0"/>
          <w:color w:val="000000"/>
          <w:sz w:val="24"/>
        </w:rPr>
        <w:t>1.5 – Etendue des prestations</w:t>
      </w:r>
      <w:bookmarkEnd w:id="10"/>
      <w:r w:rsidRPr="00022D22">
        <w:rPr>
          <w:rFonts w:ascii="Century Gothic" w:eastAsia="Century Gothic" w:hAnsi="Century Gothic" w:cs="Century Gothic"/>
          <w:i w:val="0"/>
          <w:color w:val="000000"/>
          <w:sz w:val="24"/>
        </w:rPr>
        <w:t xml:space="preserve"> </w:t>
      </w:r>
    </w:p>
    <w:p w14:paraId="0FEC0837" w14:textId="77777777" w:rsidR="0038317F" w:rsidRPr="00022D22" w:rsidRDefault="0038317F" w:rsidP="00A8475F"/>
    <w:tbl>
      <w:tblPr>
        <w:tblW w:w="0" w:type="auto"/>
        <w:tblInd w:w="958" w:type="dxa"/>
        <w:tblLayout w:type="fixed"/>
        <w:tblLook w:val="04A0" w:firstRow="1" w:lastRow="0" w:firstColumn="1" w:lastColumn="0" w:noHBand="0" w:noVBand="1"/>
      </w:tblPr>
      <w:tblGrid>
        <w:gridCol w:w="3482"/>
        <w:gridCol w:w="3660"/>
      </w:tblGrid>
      <w:tr w:rsidR="000979CC" w:rsidRPr="00022D22" w14:paraId="70A6517E" w14:textId="77777777" w:rsidTr="000979CC">
        <w:trPr>
          <w:trHeight w:val="406"/>
        </w:trPr>
        <w:tc>
          <w:tcPr>
            <w:tcW w:w="348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B719C47" w14:textId="1863F803" w:rsidR="000979CC" w:rsidRPr="00022D22" w:rsidRDefault="000979CC" w:rsidP="004100D3">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 xml:space="preserve">Montant estimé annuel HT </w:t>
            </w:r>
          </w:p>
        </w:tc>
        <w:tc>
          <w:tcPr>
            <w:tcW w:w="366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853099" w14:textId="719C6598" w:rsidR="000979CC" w:rsidRPr="00022D22" w:rsidRDefault="000979CC" w:rsidP="004100D3">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 xml:space="preserve">Montant maximum annuel HT </w:t>
            </w:r>
          </w:p>
        </w:tc>
      </w:tr>
      <w:tr w:rsidR="000979CC" w:rsidRPr="00022D22" w14:paraId="1E7F7704" w14:textId="77777777" w:rsidTr="000979CC">
        <w:trPr>
          <w:trHeight w:val="310"/>
        </w:trPr>
        <w:tc>
          <w:tcPr>
            <w:tcW w:w="348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914EE7" w14:textId="2A6BB99F" w:rsidR="000979CC" w:rsidRPr="00022D22" w:rsidRDefault="00EA1F17" w:rsidP="004100D3">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1</w:t>
            </w:r>
            <w:r w:rsidR="000369D5" w:rsidRPr="00022D22">
              <w:rPr>
                <w:rFonts w:ascii="Century Gothic" w:eastAsia="Century Gothic" w:hAnsi="Century Gothic" w:cs="Century Gothic"/>
                <w:color w:val="000000"/>
                <w:sz w:val="22"/>
              </w:rPr>
              <w:t>5</w:t>
            </w:r>
            <w:r w:rsidRPr="00022D22">
              <w:rPr>
                <w:rFonts w:ascii="Century Gothic" w:eastAsia="Century Gothic" w:hAnsi="Century Gothic" w:cs="Century Gothic"/>
                <w:color w:val="000000"/>
                <w:sz w:val="22"/>
              </w:rPr>
              <w:t>0 000 €</w:t>
            </w:r>
          </w:p>
        </w:tc>
        <w:tc>
          <w:tcPr>
            <w:tcW w:w="36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8CBEC5" w14:textId="10E9EF21" w:rsidR="000979CC" w:rsidRPr="00022D22" w:rsidRDefault="00EA1F17" w:rsidP="00EA1F17">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300 000 €</w:t>
            </w:r>
          </w:p>
        </w:tc>
      </w:tr>
    </w:tbl>
    <w:p w14:paraId="3071CD7B" w14:textId="77777777" w:rsidR="00A8475F" w:rsidRPr="00022D22" w:rsidRDefault="00A8475F" w:rsidP="00A8475F"/>
    <w:p w14:paraId="3F86D12D" w14:textId="05A8B009" w:rsidR="00FC4E8D" w:rsidRPr="00022D22" w:rsidRDefault="00D238AB">
      <w:pPr>
        <w:pStyle w:val="Titre2"/>
        <w:ind w:left="280"/>
        <w:jc w:val="both"/>
        <w:rPr>
          <w:rFonts w:ascii="Century Gothic" w:eastAsia="Century Gothic" w:hAnsi="Century Gothic" w:cs="Century Gothic"/>
          <w:i w:val="0"/>
          <w:color w:val="000000"/>
          <w:sz w:val="24"/>
        </w:rPr>
      </w:pPr>
      <w:bookmarkStart w:id="11" w:name="ArtL2_RC-2-A2.7"/>
      <w:bookmarkStart w:id="12" w:name="_Toc242256502"/>
      <w:bookmarkEnd w:id="11"/>
      <w:r w:rsidRPr="00022D22">
        <w:rPr>
          <w:rFonts w:ascii="Century Gothic" w:eastAsia="Century Gothic" w:hAnsi="Century Gothic" w:cs="Century Gothic"/>
          <w:i w:val="0"/>
          <w:color w:val="000000"/>
          <w:sz w:val="24"/>
        </w:rPr>
        <w:t>1.</w:t>
      </w:r>
      <w:r w:rsidR="00A8475F" w:rsidRPr="00022D22">
        <w:rPr>
          <w:rFonts w:ascii="Century Gothic" w:eastAsia="Century Gothic" w:hAnsi="Century Gothic" w:cs="Century Gothic"/>
          <w:i w:val="0"/>
          <w:color w:val="000000"/>
          <w:sz w:val="24"/>
        </w:rPr>
        <w:t>6</w:t>
      </w:r>
      <w:r w:rsidRPr="00022D22">
        <w:rPr>
          <w:rFonts w:ascii="Century Gothic" w:eastAsia="Century Gothic" w:hAnsi="Century Gothic" w:cs="Century Gothic"/>
          <w:i w:val="0"/>
          <w:color w:val="000000"/>
          <w:sz w:val="24"/>
        </w:rPr>
        <w:t xml:space="preserve"> - Nomenclature</w:t>
      </w:r>
      <w:bookmarkEnd w:id="12"/>
    </w:p>
    <w:p w14:paraId="3F86D12E" w14:textId="77777777" w:rsidR="00FC4E8D" w:rsidRPr="00022D22" w:rsidRDefault="00D238AB">
      <w:pPr>
        <w:pStyle w:val="ParagrapheIndent2"/>
        <w:spacing w:line="270" w:lineRule="exact"/>
        <w:jc w:val="both"/>
        <w:rPr>
          <w:color w:val="000000"/>
        </w:rPr>
      </w:pPr>
      <w:r w:rsidRPr="00022D22">
        <w:rPr>
          <w:color w:val="000000"/>
        </w:rPr>
        <w:t>La classification conforme au vocabulaire commun des marchés européens (CPV) est :</w:t>
      </w:r>
    </w:p>
    <w:p w14:paraId="3F86D12F"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1800"/>
        <w:gridCol w:w="7800"/>
      </w:tblGrid>
      <w:tr w:rsidR="00FC4E8D" w:rsidRPr="00022D22" w14:paraId="3F86D132"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30"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31"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Description</w:t>
            </w:r>
          </w:p>
        </w:tc>
      </w:tr>
      <w:tr w:rsidR="00FC4E8D" w:rsidRPr="00022D22" w14:paraId="3F86D13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33" w14:textId="77777777" w:rsidR="00FC4E8D" w:rsidRPr="00022D22" w:rsidRDefault="00D238AB">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34928200-0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34" w14:textId="77777777" w:rsidR="00FC4E8D" w:rsidRPr="00022D22" w:rsidRDefault="00D238AB">
            <w:pPr>
              <w:spacing w:before="20" w:after="20"/>
              <w:ind w:left="40" w:right="4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Clôtures</w:t>
            </w:r>
          </w:p>
        </w:tc>
      </w:tr>
      <w:tr w:rsidR="00FC4E8D" w:rsidRPr="00022D22" w14:paraId="3F86D13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36" w14:textId="77777777" w:rsidR="00FC4E8D" w:rsidRPr="00022D22" w:rsidRDefault="00D238AB">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45342000-6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37" w14:textId="77777777" w:rsidR="00FC4E8D" w:rsidRPr="00022D22" w:rsidRDefault="00D238AB">
            <w:pPr>
              <w:spacing w:before="20" w:after="20"/>
              <w:ind w:left="40" w:right="4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Pose de clôtures</w:t>
            </w:r>
          </w:p>
        </w:tc>
      </w:tr>
    </w:tbl>
    <w:p w14:paraId="3F86D139" w14:textId="77777777" w:rsidR="00FC4E8D" w:rsidRPr="00022D22" w:rsidRDefault="00D238AB">
      <w:pPr>
        <w:spacing w:after="400" w:line="240" w:lineRule="exact"/>
      </w:pPr>
      <w:r w:rsidRPr="00022D22">
        <w:t xml:space="preserve"> </w:t>
      </w:r>
    </w:p>
    <w:p w14:paraId="3F86D13A"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13" w:name="ArtL1_RC-2-A3"/>
      <w:bookmarkStart w:id="14" w:name="_Toc242256503"/>
      <w:bookmarkEnd w:id="13"/>
      <w:r w:rsidRPr="00022D22">
        <w:rPr>
          <w:rFonts w:ascii="Century Gothic" w:eastAsia="Century Gothic" w:hAnsi="Century Gothic" w:cs="Century Gothic"/>
          <w:color w:val="FFFFFF"/>
          <w:sz w:val="28"/>
        </w:rPr>
        <w:t>2 - Conditions de la consultation</w:t>
      </w:r>
      <w:bookmarkEnd w:id="14"/>
    </w:p>
    <w:p w14:paraId="3F86D13B" w14:textId="77777777" w:rsidR="00FC4E8D" w:rsidRPr="00022D22" w:rsidRDefault="00D238AB">
      <w:pPr>
        <w:spacing w:line="60" w:lineRule="exact"/>
        <w:rPr>
          <w:sz w:val="6"/>
        </w:rPr>
      </w:pPr>
      <w:r w:rsidRPr="00022D22">
        <w:t xml:space="preserve"> </w:t>
      </w:r>
    </w:p>
    <w:p w14:paraId="3F86D13C"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15" w:name="ArtL2_RC-2-A3.2"/>
      <w:bookmarkStart w:id="16" w:name="_Toc242256504"/>
      <w:bookmarkEnd w:id="15"/>
      <w:r w:rsidRPr="00022D22">
        <w:rPr>
          <w:rFonts w:ascii="Century Gothic" w:eastAsia="Century Gothic" w:hAnsi="Century Gothic" w:cs="Century Gothic"/>
          <w:i w:val="0"/>
          <w:color w:val="000000"/>
          <w:sz w:val="24"/>
        </w:rPr>
        <w:t>2.1 - Délai de validité des offres</w:t>
      </w:r>
      <w:bookmarkEnd w:id="16"/>
    </w:p>
    <w:p w14:paraId="3F86D13D" w14:textId="77777777" w:rsidR="00FC4E8D" w:rsidRPr="00022D22" w:rsidRDefault="00D238AB">
      <w:pPr>
        <w:pStyle w:val="ParagrapheIndent2"/>
        <w:spacing w:after="240" w:line="270" w:lineRule="exact"/>
        <w:jc w:val="both"/>
        <w:rPr>
          <w:color w:val="000000"/>
        </w:rPr>
      </w:pPr>
      <w:r w:rsidRPr="00022D22">
        <w:rPr>
          <w:color w:val="000000"/>
        </w:rPr>
        <w:t>Le délai de validité des offres est fixé à 120 jours à compter de la date limite de réception des offres. Ce délai pourra être prorogé, sous réserve de l'accord des soumissionnaires, jusqu'à la décision d'attribution.</w:t>
      </w:r>
    </w:p>
    <w:p w14:paraId="3F86D13E"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17" w:name="ArtL2_RC-2-A3.3"/>
      <w:bookmarkStart w:id="18" w:name="_Toc242256505"/>
      <w:bookmarkEnd w:id="17"/>
      <w:r w:rsidRPr="00022D22">
        <w:rPr>
          <w:rFonts w:ascii="Century Gothic" w:eastAsia="Century Gothic" w:hAnsi="Century Gothic" w:cs="Century Gothic"/>
          <w:i w:val="0"/>
          <w:color w:val="000000"/>
          <w:sz w:val="24"/>
        </w:rPr>
        <w:t>2.2 - Forme juridique du groupement</w:t>
      </w:r>
      <w:bookmarkEnd w:id="18"/>
    </w:p>
    <w:p w14:paraId="3F86D13F" w14:textId="77777777" w:rsidR="00FC4E8D" w:rsidRPr="00022D22" w:rsidRDefault="00D238AB">
      <w:pPr>
        <w:pStyle w:val="ParagrapheIndent2"/>
        <w:spacing w:line="270" w:lineRule="exact"/>
        <w:jc w:val="both"/>
        <w:rPr>
          <w:color w:val="000000"/>
        </w:rPr>
      </w:pPr>
      <w:r w:rsidRPr="00022D22">
        <w:rPr>
          <w:color w:val="000000"/>
        </w:rPr>
        <w:t>Le pouvoir adjudicateur ne souhaite imposer aucune forme de groupement à l'attributaire de l'accord-cadre.</w:t>
      </w:r>
    </w:p>
    <w:p w14:paraId="3F86D140" w14:textId="77777777" w:rsidR="00FC4E8D" w:rsidRPr="00022D22" w:rsidRDefault="00FC4E8D">
      <w:pPr>
        <w:pStyle w:val="ParagrapheIndent2"/>
        <w:spacing w:line="270" w:lineRule="exact"/>
        <w:jc w:val="both"/>
        <w:rPr>
          <w:color w:val="000000"/>
        </w:rPr>
      </w:pPr>
    </w:p>
    <w:p w14:paraId="3F86D142" w14:textId="0DB6E88E" w:rsidR="00FC4E8D" w:rsidRPr="00022D22" w:rsidRDefault="00D238AB" w:rsidP="00EA69C7">
      <w:pPr>
        <w:pStyle w:val="ParagrapheIndent2"/>
        <w:spacing w:after="80" w:line="270" w:lineRule="exact"/>
        <w:jc w:val="both"/>
        <w:rPr>
          <w:color w:val="000000"/>
        </w:rPr>
      </w:pPr>
      <w:r w:rsidRPr="00022D22">
        <w:rPr>
          <w:color w:val="000000"/>
        </w:rPr>
        <w:t>En cas de groupement, la forme souhaitée par le pouvoir adjudicateur est le groupement</w:t>
      </w:r>
      <w:r w:rsidR="00EA69C7" w:rsidRPr="00022D22">
        <w:rPr>
          <w:color w:val="000000"/>
        </w:rPr>
        <w:t xml:space="preserve"> </w:t>
      </w:r>
      <w:r w:rsidRPr="00022D22">
        <w:rPr>
          <w:color w:val="000000"/>
        </w:rPr>
        <w:t>conjoint avec mandataire solidaire.</w:t>
      </w:r>
    </w:p>
    <w:p w14:paraId="3F86D145" w14:textId="77777777" w:rsidR="00FC4E8D" w:rsidRPr="00022D22" w:rsidRDefault="00D238AB">
      <w:pPr>
        <w:pStyle w:val="ParagrapheIndent2"/>
        <w:spacing w:after="240" w:line="270" w:lineRule="exact"/>
        <w:jc w:val="both"/>
        <w:rPr>
          <w:color w:val="000000"/>
        </w:rPr>
      </w:pPr>
      <w:r w:rsidRPr="00022D22">
        <w:rPr>
          <w:color w:val="000000"/>
        </w:rPr>
        <w:t>Il est interdit aux candidats de présenter plusieurs offres en agissant à la fois en qualité de candidats individuels ou en qualité de mandataire d’un groupement et de membres d'un ou plusieurs groupements, sous peine de voir chacune de leurs offres écartées.</w:t>
      </w:r>
    </w:p>
    <w:p w14:paraId="3F86D146"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19" w:name="ArtL2_RC-2-A3.5"/>
      <w:bookmarkStart w:id="20" w:name="_Toc242256506"/>
      <w:bookmarkEnd w:id="19"/>
      <w:r w:rsidRPr="00022D22">
        <w:rPr>
          <w:rFonts w:ascii="Century Gothic" w:eastAsia="Century Gothic" w:hAnsi="Century Gothic" w:cs="Century Gothic"/>
          <w:i w:val="0"/>
          <w:color w:val="000000"/>
          <w:sz w:val="24"/>
        </w:rPr>
        <w:t>2.3 - Variantes</w:t>
      </w:r>
      <w:bookmarkEnd w:id="20"/>
    </w:p>
    <w:p w14:paraId="3F86D148" w14:textId="2CF97F9D" w:rsidR="00FC4E8D" w:rsidRPr="00022D22" w:rsidRDefault="00D238AB" w:rsidP="004A5C22">
      <w:pPr>
        <w:pStyle w:val="ParagrapheIndent2"/>
        <w:spacing w:line="270" w:lineRule="exact"/>
        <w:jc w:val="both"/>
        <w:rPr>
          <w:color w:val="000000"/>
        </w:rPr>
      </w:pPr>
      <w:r w:rsidRPr="00022D22">
        <w:rPr>
          <w:color w:val="000000"/>
        </w:rPr>
        <w:t>Aucune variante n'est autorisée. La présentation de variante(s) non autorisée(s) n’entraînera pas le rejet de l’offre de base mais uniquement des variantes, sous réserve que l’offre de base soit clairement identifiée.</w:t>
      </w:r>
    </w:p>
    <w:p w14:paraId="21D1341A" w14:textId="77777777" w:rsidR="004A5C22" w:rsidRPr="00022D22" w:rsidRDefault="004A5C22" w:rsidP="004A5C22"/>
    <w:p w14:paraId="3F86D149"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21" w:name="ArtL2_RC-2-A3.9"/>
      <w:bookmarkStart w:id="22" w:name="_Toc242256507"/>
      <w:bookmarkEnd w:id="21"/>
      <w:r w:rsidRPr="00022D22">
        <w:rPr>
          <w:rFonts w:ascii="Century Gothic" w:eastAsia="Century Gothic" w:hAnsi="Century Gothic" w:cs="Century Gothic"/>
          <w:i w:val="0"/>
          <w:color w:val="000000"/>
          <w:sz w:val="24"/>
        </w:rPr>
        <w:t>2.4 - Développement durable</w:t>
      </w:r>
      <w:bookmarkEnd w:id="22"/>
    </w:p>
    <w:p w14:paraId="6A732D1E" w14:textId="36DDF226" w:rsidR="00EA69C7" w:rsidRPr="00022D22" w:rsidRDefault="00D238AB">
      <w:pPr>
        <w:pStyle w:val="ParagrapheIndent2"/>
        <w:spacing w:line="270" w:lineRule="exact"/>
        <w:jc w:val="both"/>
        <w:rPr>
          <w:color w:val="000000"/>
        </w:rPr>
      </w:pPr>
      <w:r w:rsidRPr="00022D22">
        <w:rPr>
          <w:color w:val="000000"/>
        </w:rPr>
        <w:t>Cette consultation comporte des conditions d'exécution à caractère social et environnemental dont le détail est indiqué</w:t>
      </w:r>
      <w:r w:rsidR="00E1642A" w:rsidRPr="00022D22">
        <w:rPr>
          <w:color w:val="000000"/>
        </w:rPr>
        <w:t xml:space="preserve"> aux articles 12</w:t>
      </w:r>
      <w:r w:rsidRPr="00022D22">
        <w:rPr>
          <w:color w:val="000000"/>
        </w:rPr>
        <w:t xml:space="preserve"> </w:t>
      </w:r>
      <w:r w:rsidR="00E1642A" w:rsidRPr="00022D22">
        <w:rPr>
          <w:color w:val="000000"/>
        </w:rPr>
        <w:t>et 13 du</w:t>
      </w:r>
      <w:r w:rsidRPr="00022D22">
        <w:rPr>
          <w:color w:val="000000"/>
        </w:rPr>
        <w:t xml:space="preserve"> CCAP.</w:t>
      </w:r>
    </w:p>
    <w:p w14:paraId="7CFDC8B9" w14:textId="77777777" w:rsidR="00291806" w:rsidRPr="00022D22" w:rsidRDefault="00291806">
      <w:pPr>
        <w:pStyle w:val="ParagrapheIndent2"/>
        <w:spacing w:line="270" w:lineRule="exact"/>
        <w:jc w:val="both"/>
        <w:rPr>
          <w:color w:val="000000"/>
        </w:rPr>
      </w:pPr>
    </w:p>
    <w:p w14:paraId="3F86D14A" w14:textId="46B0857C" w:rsidR="00FC4E8D" w:rsidRPr="00022D22" w:rsidRDefault="00D238AB">
      <w:pPr>
        <w:pStyle w:val="ParagrapheIndent2"/>
        <w:spacing w:line="270" w:lineRule="exact"/>
        <w:jc w:val="both"/>
        <w:rPr>
          <w:color w:val="000000"/>
        </w:rPr>
      </w:pPr>
      <w:r w:rsidRPr="00022D22">
        <w:rPr>
          <w:color w:val="000000"/>
        </w:rPr>
        <w:t xml:space="preserve"> Le respect de ces dispositions est une condition de la conformité de l'offre. Une offre comportant des réserves ou ne respectant pas ces conditions d'exécution particulières sera déclarée irrégulière au motif du non-respect du cahier des charges.</w:t>
      </w:r>
    </w:p>
    <w:p w14:paraId="3F86D14B" w14:textId="77777777" w:rsidR="00FC4E8D" w:rsidRPr="00022D22" w:rsidRDefault="00FC4E8D">
      <w:pPr>
        <w:pStyle w:val="ParagrapheIndent2"/>
        <w:spacing w:line="270" w:lineRule="exact"/>
        <w:jc w:val="both"/>
        <w:rPr>
          <w:color w:val="000000"/>
        </w:rPr>
      </w:pPr>
    </w:p>
    <w:p w14:paraId="3F86D14C" w14:textId="77777777" w:rsidR="00FC4E8D" w:rsidRPr="00022D22" w:rsidRDefault="00D238AB">
      <w:pPr>
        <w:pStyle w:val="ParagrapheIndent2"/>
        <w:spacing w:after="240" w:line="270" w:lineRule="exact"/>
        <w:jc w:val="both"/>
        <w:rPr>
          <w:color w:val="000000"/>
        </w:rPr>
      </w:pPr>
      <w:r w:rsidRPr="00022D22">
        <w:rPr>
          <w:color w:val="000000"/>
        </w:rPr>
        <w:t>Chaque titulaire concerné devra mettre en œuvre tous les moyens dont il dispose pour respecter ces objectifs de développement durable dans le cadre de l'exécution des prestations.</w:t>
      </w:r>
    </w:p>
    <w:p w14:paraId="2335998D" w14:textId="58994F26" w:rsidR="009217EA" w:rsidRPr="00022D22" w:rsidRDefault="00C2222A" w:rsidP="009217EA">
      <w:pPr>
        <w:jc w:val="both"/>
        <w:rPr>
          <w:rFonts w:ascii="Century Gothic" w:hAnsi="Century Gothic"/>
          <w:sz w:val="22"/>
          <w:szCs w:val="22"/>
        </w:rPr>
      </w:pPr>
      <w:r w:rsidRPr="00022D22">
        <w:rPr>
          <w:rFonts w:ascii="Century Gothic" w:hAnsi="Century Gothic"/>
          <w:sz w:val="22"/>
          <w:szCs w:val="22"/>
        </w:rPr>
        <w:t xml:space="preserve">Cette </w:t>
      </w:r>
      <w:r w:rsidR="009217EA" w:rsidRPr="00022D22">
        <w:rPr>
          <w:rFonts w:ascii="Century Gothic" w:hAnsi="Century Gothic"/>
          <w:sz w:val="22"/>
          <w:szCs w:val="22"/>
        </w:rPr>
        <w:t>consultation comporte également</w:t>
      </w:r>
      <w:r w:rsidR="001B22A4" w:rsidRPr="00022D22">
        <w:rPr>
          <w:rFonts w:ascii="Century Gothic" w:hAnsi="Century Gothic"/>
          <w:sz w:val="22"/>
          <w:szCs w:val="22"/>
        </w:rPr>
        <w:t xml:space="preserve"> </w:t>
      </w:r>
      <w:r w:rsidR="009217EA" w:rsidRPr="00022D22">
        <w:rPr>
          <w:rFonts w:ascii="Century Gothic" w:hAnsi="Century Gothic"/>
          <w:sz w:val="22"/>
          <w:szCs w:val="22"/>
        </w:rPr>
        <w:t>un critère de valeur environnementale.</w:t>
      </w:r>
    </w:p>
    <w:p w14:paraId="591F5CBD" w14:textId="77777777" w:rsidR="009217EA" w:rsidRPr="00022D22" w:rsidRDefault="009217EA" w:rsidP="009217EA"/>
    <w:p w14:paraId="3F86D14D"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23" w:name="ArtL1_RC-2-A4"/>
      <w:bookmarkStart w:id="24" w:name="_Toc242256508"/>
      <w:bookmarkEnd w:id="23"/>
      <w:r w:rsidRPr="00022D22">
        <w:rPr>
          <w:rFonts w:ascii="Century Gothic" w:eastAsia="Century Gothic" w:hAnsi="Century Gothic" w:cs="Century Gothic"/>
          <w:color w:val="FFFFFF"/>
          <w:sz w:val="28"/>
        </w:rPr>
        <w:t>3 - Les intervenants</w:t>
      </w:r>
      <w:bookmarkEnd w:id="24"/>
    </w:p>
    <w:p w14:paraId="3F86D14E" w14:textId="77777777" w:rsidR="00FC4E8D" w:rsidRPr="00022D22" w:rsidRDefault="00D238AB">
      <w:pPr>
        <w:spacing w:line="60" w:lineRule="exact"/>
        <w:rPr>
          <w:sz w:val="6"/>
        </w:rPr>
      </w:pPr>
      <w:r w:rsidRPr="00022D22">
        <w:t xml:space="preserve"> </w:t>
      </w:r>
    </w:p>
    <w:p w14:paraId="3F86D14F"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25" w:name="ArtL2_RC-2-A4.9"/>
      <w:bookmarkStart w:id="26" w:name="_Toc242256509"/>
      <w:bookmarkEnd w:id="25"/>
      <w:r w:rsidRPr="00022D22">
        <w:rPr>
          <w:rFonts w:ascii="Century Gothic" w:eastAsia="Century Gothic" w:hAnsi="Century Gothic" w:cs="Century Gothic"/>
          <w:i w:val="0"/>
          <w:color w:val="000000"/>
          <w:sz w:val="24"/>
        </w:rPr>
        <w:t>3.1 - Contrôle technique</w:t>
      </w:r>
      <w:bookmarkEnd w:id="26"/>
    </w:p>
    <w:p w14:paraId="3F86D150" w14:textId="77777777" w:rsidR="00FC4E8D" w:rsidRPr="00022D22" w:rsidRDefault="00D238AB">
      <w:pPr>
        <w:pStyle w:val="ParagrapheIndent2"/>
        <w:spacing w:after="240"/>
        <w:jc w:val="both"/>
        <w:rPr>
          <w:color w:val="000000"/>
        </w:rPr>
      </w:pPr>
      <w:r w:rsidRPr="00022D22">
        <w:rPr>
          <w:color w:val="000000"/>
        </w:rPr>
        <w:t>Aucun contrôle technique n'est prévu pour cette opération.</w:t>
      </w:r>
    </w:p>
    <w:p w14:paraId="3F86D151"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27" w:name="ArtL2_RC-2-A4.10"/>
      <w:bookmarkStart w:id="28" w:name="_Toc242256510"/>
      <w:bookmarkEnd w:id="27"/>
      <w:r w:rsidRPr="00022D22">
        <w:rPr>
          <w:rFonts w:ascii="Century Gothic" w:eastAsia="Century Gothic" w:hAnsi="Century Gothic" w:cs="Century Gothic"/>
          <w:i w:val="0"/>
          <w:color w:val="000000"/>
          <w:sz w:val="24"/>
        </w:rPr>
        <w:t>3.2 - Sécurité et protection de la santé des travailleurs</w:t>
      </w:r>
      <w:bookmarkEnd w:id="28"/>
    </w:p>
    <w:p w14:paraId="3F86D152" w14:textId="77777777" w:rsidR="00FC4E8D" w:rsidRPr="00022D22" w:rsidRDefault="00D238AB">
      <w:pPr>
        <w:pStyle w:val="ParagrapheIndent2"/>
        <w:spacing w:after="240" w:line="270" w:lineRule="exact"/>
        <w:jc w:val="both"/>
        <w:rPr>
          <w:color w:val="000000"/>
        </w:rPr>
      </w:pPr>
      <w:r w:rsidRPr="00022D22">
        <w:rPr>
          <w:color w:val="000000"/>
        </w:rPr>
        <w:t>Aucune coordination sécurité et protection de la santé, ni aucun plan de prévention ne sont prévus pour cette opération.</w:t>
      </w:r>
    </w:p>
    <w:p w14:paraId="3F86D153"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29" w:name="ArtL1_RC-2-A5"/>
      <w:bookmarkStart w:id="30" w:name="_Toc242256511"/>
      <w:bookmarkEnd w:id="29"/>
      <w:r w:rsidRPr="00022D22">
        <w:rPr>
          <w:rFonts w:ascii="Century Gothic" w:eastAsia="Century Gothic" w:hAnsi="Century Gothic" w:cs="Century Gothic"/>
          <w:color w:val="FFFFFF"/>
          <w:sz w:val="28"/>
        </w:rPr>
        <w:t>4 - Conditions relatives au contrat</w:t>
      </w:r>
      <w:bookmarkEnd w:id="30"/>
    </w:p>
    <w:p w14:paraId="3F86D154" w14:textId="77777777" w:rsidR="00FC4E8D" w:rsidRPr="00022D22" w:rsidRDefault="00D238AB">
      <w:pPr>
        <w:spacing w:line="60" w:lineRule="exact"/>
        <w:rPr>
          <w:sz w:val="6"/>
        </w:rPr>
      </w:pPr>
      <w:r w:rsidRPr="00022D22">
        <w:t xml:space="preserve"> </w:t>
      </w:r>
    </w:p>
    <w:p w14:paraId="3F86D155" w14:textId="07B59191" w:rsidR="00FC4E8D" w:rsidRPr="00022D22" w:rsidRDefault="00D238AB">
      <w:pPr>
        <w:pStyle w:val="Titre2"/>
        <w:ind w:left="280"/>
        <w:jc w:val="both"/>
        <w:rPr>
          <w:rFonts w:ascii="Century Gothic" w:eastAsia="Century Gothic" w:hAnsi="Century Gothic" w:cs="Century Gothic"/>
          <w:i w:val="0"/>
          <w:color w:val="000000"/>
          <w:sz w:val="24"/>
        </w:rPr>
      </w:pPr>
      <w:bookmarkStart w:id="31" w:name="ArtL2_RC-2-A5.1"/>
      <w:bookmarkStart w:id="32" w:name="_Toc242256512"/>
      <w:bookmarkEnd w:id="31"/>
      <w:r w:rsidRPr="00022D22">
        <w:rPr>
          <w:rFonts w:ascii="Century Gothic" w:eastAsia="Century Gothic" w:hAnsi="Century Gothic" w:cs="Century Gothic"/>
          <w:i w:val="0"/>
          <w:color w:val="000000"/>
          <w:sz w:val="24"/>
        </w:rPr>
        <w:t xml:space="preserve">4.1 - Durée du contrat </w:t>
      </w:r>
      <w:r w:rsidR="00291806" w:rsidRPr="00022D22">
        <w:rPr>
          <w:rFonts w:ascii="Century Gothic" w:eastAsia="Century Gothic" w:hAnsi="Century Gothic" w:cs="Century Gothic"/>
          <w:i w:val="0"/>
          <w:color w:val="000000"/>
          <w:sz w:val="24"/>
        </w:rPr>
        <w:t>et</w:t>
      </w:r>
      <w:r w:rsidRPr="00022D22">
        <w:rPr>
          <w:rFonts w:ascii="Century Gothic" w:eastAsia="Century Gothic" w:hAnsi="Century Gothic" w:cs="Century Gothic"/>
          <w:i w:val="0"/>
          <w:color w:val="000000"/>
          <w:sz w:val="24"/>
        </w:rPr>
        <w:t xml:space="preserve"> délai d'exécution</w:t>
      </w:r>
      <w:bookmarkEnd w:id="32"/>
    </w:p>
    <w:p w14:paraId="3F86D156" w14:textId="77777777" w:rsidR="00FC4E8D" w:rsidRPr="00022D22" w:rsidRDefault="00D238AB">
      <w:pPr>
        <w:pStyle w:val="ParagrapheIndent2"/>
        <w:spacing w:after="240"/>
        <w:jc w:val="both"/>
        <w:rPr>
          <w:color w:val="000000"/>
        </w:rPr>
      </w:pPr>
      <w:r w:rsidRPr="00022D22">
        <w:rPr>
          <w:color w:val="000000"/>
        </w:rPr>
        <w:t>La durée du contrat est fixée au CCAP.</w:t>
      </w:r>
    </w:p>
    <w:p w14:paraId="3F86D157"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33" w:name="ArtL2_RC-2-A5.2"/>
      <w:bookmarkStart w:id="34" w:name="_Toc242256513"/>
      <w:bookmarkEnd w:id="33"/>
      <w:r w:rsidRPr="00022D22">
        <w:rPr>
          <w:rFonts w:ascii="Century Gothic" w:eastAsia="Century Gothic" w:hAnsi="Century Gothic" w:cs="Century Gothic"/>
          <w:i w:val="0"/>
          <w:color w:val="000000"/>
          <w:sz w:val="24"/>
        </w:rPr>
        <w:t>4.2 - Modalités essentielles de financement et de paiement</w:t>
      </w:r>
      <w:bookmarkEnd w:id="34"/>
    </w:p>
    <w:p w14:paraId="0463A3E9" w14:textId="77777777" w:rsidR="00CD4A0F" w:rsidRPr="00022D22" w:rsidRDefault="00D238AB">
      <w:pPr>
        <w:pStyle w:val="ParagrapheIndent2"/>
        <w:spacing w:after="240" w:line="270" w:lineRule="exact"/>
        <w:jc w:val="both"/>
        <w:rPr>
          <w:color w:val="000000"/>
        </w:rPr>
      </w:pPr>
      <w:r w:rsidRPr="00022D22">
        <w:rPr>
          <w:color w:val="000000"/>
        </w:rPr>
        <w:t xml:space="preserve">Les prestations seront financées selon les modalités suivantes : </w:t>
      </w:r>
    </w:p>
    <w:p w14:paraId="3F86D158" w14:textId="71A93BAF" w:rsidR="00FC4E8D" w:rsidRPr="00022D22" w:rsidRDefault="00D238AB">
      <w:pPr>
        <w:pStyle w:val="ParagrapheIndent2"/>
        <w:spacing w:after="240" w:line="270" w:lineRule="exact"/>
        <w:jc w:val="both"/>
        <w:rPr>
          <w:color w:val="000000"/>
        </w:rPr>
      </w:pPr>
      <w:r w:rsidRPr="00022D22">
        <w:rPr>
          <w:color w:val="000000"/>
        </w:rPr>
        <w:t>Mode de paiement : par mandat administratif. Le titulaire du marché pourra céder ou nantir les créances résultant du marché. Mode de financement : Les dépenses effectuées au titre du présent marché seront imputées sur le budget d'investissement du pouvoir adjudicateur.</w:t>
      </w:r>
    </w:p>
    <w:p w14:paraId="3F86D159" w14:textId="77777777" w:rsidR="00FC4E8D" w:rsidRPr="00022D22" w:rsidRDefault="00D238AB">
      <w:pPr>
        <w:pStyle w:val="ParagrapheIndent2"/>
        <w:spacing w:after="240" w:line="270" w:lineRule="exact"/>
        <w:jc w:val="both"/>
        <w:rPr>
          <w:color w:val="000000"/>
        </w:rPr>
      </w:pPr>
      <w:r w:rsidRPr="00022D22">
        <w:rPr>
          <w:color w:val="000000"/>
        </w:rPr>
        <w:t>Les sommes dues au(x) titulaire(s) et au(x) sous-traitant(s) de premier rang éventuel(s) de l'accord-cadre seront payées dans un délai global de 30 jours à compter de la date de réception des factures ou des demandes de paiement équivalentes.</w:t>
      </w:r>
    </w:p>
    <w:p w14:paraId="2B4CD8F8" w14:textId="77777777" w:rsidR="00CD4A0F" w:rsidRPr="00022D22" w:rsidRDefault="00D238AB">
      <w:pPr>
        <w:pStyle w:val="ParagrapheIndent2"/>
        <w:spacing w:line="270" w:lineRule="exact"/>
        <w:jc w:val="both"/>
        <w:rPr>
          <w:color w:val="000000"/>
        </w:rPr>
      </w:pPr>
      <w:r w:rsidRPr="00022D22">
        <w:rPr>
          <w:color w:val="000000"/>
        </w:rPr>
        <w:lastRenderedPageBreak/>
        <w:t>L'attention des candidats est attirée sur le fait que s'ils veulent renoncer aux bénéfices de l'avance prévue au CCAP, ils doivent le préciser à l'acte d'engagement.</w:t>
      </w:r>
    </w:p>
    <w:p w14:paraId="396470C5" w14:textId="77777777" w:rsidR="001B22A4" w:rsidRPr="00022D22" w:rsidRDefault="001B22A4">
      <w:pPr>
        <w:pStyle w:val="Titre2"/>
        <w:ind w:left="280"/>
        <w:jc w:val="both"/>
        <w:rPr>
          <w:rFonts w:ascii="Century Gothic" w:eastAsia="Century Gothic" w:hAnsi="Century Gothic" w:cs="Century Gothic"/>
          <w:i w:val="0"/>
          <w:color w:val="000000"/>
          <w:sz w:val="24"/>
        </w:rPr>
      </w:pPr>
      <w:bookmarkStart w:id="35" w:name="ArtL2_RC-2-A5.4"/>
      <w:bookmarkEnd w:id="35"/>
    </w:p>
    <w:p w14:paraId="3F86D15B" w14:textId="781E31AB" w:rsidR="00FC4E8D" w:rsidRPr="00022D22" w:rsidRDefault="00D238AB">
      <w:pPr>
        <w:pStyle w:val="Titre2"/>
        <w:ind w:left="280"/>
        <w:jc w:val="both"/>
        <w:rPr>
          <w:rFonts w:ascii="Century Gothic" w:eastAsia="Century Gothic" w:hAnsi="Century Gothic" w:cs="Century Gothic"/>
          <w:i w:val="0"/>
          <w:color w:val="000000"/>
          <w:sz w:val="24"/>
        </w:rPr>
      </w:pPr>
      <w:bookmarkStart w:id="36" w:name="_Toc242256514"/>
      <w:r w:rsidRPr="00022D22">
        <w:rPr>
          <w:rFonts w:ascii="Century Gothic" w:eastAsia="Century Gothic" w:hAnsi="Century Gothic" w:cs="Century Gothic"/>
          <w:i w:val="0"/>
          <w:color w:val="000000"/>
          <w:sz w:val="24"/>
        </w:rPr>
        <w:t>4.3 - Confidentialité et mesures de sécurité</w:t>
      </w:r>
      <w:bookmarkEnd w:id="36"/>
    </w:p>
    <w:p w14:paraId="3F86D15C" w14:textId="77777777" w:rsidR="00FC4E8D" w:rsidRPr="00022D22" w:rsidRDefault="00D238AB">
      <w:pPr>
        <w:pStyle w:val="ParagrapheIndent2"/>
        <w:spacing w:line="270" w:lineRule="exact"/>
        <w:jc w:val="both"/>
        <w:rPr>
          <w:color w:val="000000"/>
        </w:rPr>
      </w:pPr>
      <w:r w:rsidRPr="00022D22">
        <w:rPr>
          <w:color w:val="000000"/>
        </w:rPr>
        <w:t>Les candidats doivent respecter les mesures particulières de sécurité prévues pour l'exécution des prestations.</w:t>
      </w:r>
    </w:p>
    <w:p w14:paraId="3F86D15D" w14:textId="77777777" w:rsidR="00FC4E8D" w:rsidRPr="00022D22" w:rsidRDefault="00FC4E8D">
      <w:pPr>
        <w:pStyle w:val="ParagrapheIndent2"/>
        <w:spacing w:line="270" w:lineRule="exact"/>
        <w:jc w:val="both"/>
        <w:rPr>
          <w:color w:val="000000"/>
        </w:rPr>
      </w:pPr>
    </w:p>
    <w:p w14:paraId="3F86D15E" w14:textId="77777777" w:rsidR="00FC4E8D" w:rsidRPr="00022D22" w:rsidRDefault="00D238AB">
      <w:pPr>
        <w:pStyle w:val="ParagrapheIndent2"/>
        <w:spacing w:after="240" w:line="270" w:lineRule="exact"/>
        <w:jc w:val="both"/>
        <w:rPr>
          <w:color w:val="000000"/>
        </w:rPr>
      </w:pPr>
      <w:r w:rsidRPr="00022D22">
        <w:rPr>
          <w:color w:val="000000"/>
        </w:rPr>
        <w:t>L'attention des candidats est particulièrement attirée sur les dispositions du Cahier des clauses administratives particulières qui énoncent les formalités à accomplir et les consignes à respecter du fait de ces mesures de sécurité.</w:t>
      </w:r>
    </w:p>
    <w:p w14:paraId="3F86D15F"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37" w:name="ArtL1_RC-2-A6"/>
      <w:bookmarkStart w:id="38" w:name="_Toc242256515"/>
      <w:bookmarkEnd w:id="37"/>
      <w:r w:rsidRPr="00022D22">
        <w:rPr>
          <w:rFonts w:ascii="Century Gothic" w:eastAsia="Century Gothic" w:hAnsi="Century Gothic" w:cs="Century Gothic"/>
          <w:color w:val="FFFFFF"/>
          <w:sz w:val="28"/>
        </w:rPr>
        <w:t>5 - Contenu du dossier de consultation</w:t>
      </w:r>
      <w:bookmarkEnd w:id="38"/>
    </w:p>
    <w:p w14:paraId="3F86D160" w14:textId="77777777" w:rsidR="00FC4E8D" w:rsidRPr="00022D22" w:rsidRDefault="00D238AB">
      <w:pPr>
        <w:spacing w:line="60" w:lineRule="exact"/>
        <w:rPr>
          <w:sz w:val="6"/>
        </w:rPr>
      </w:pPr>
      <w:r w:rsidRPr="00022D22">
        <w:t xml:space="preserve"> </w:t>
      </w:r>
    </w:p>
    <w:p w14:paraId="3F86D161" w14:textId="77777777" w:rsidR="00FC4E8D" w:rsidRPr="00022D22" w:rsidRDefault="00D238AB">
      <w:pPr>
        <w:pStyle w:val="ParagrapheIndent1"/>
        <w:spacing w:line="270" w:lineRule="exact"/>
        <w:jc w:val="both"/>
        <w:rPr>
          <w:color w:val="000000"/>
        </w:rPr>
      </w:pPr>
      <w:r w:rsidRPr="00022D22">
        <w:rPr>
          <w:color w:val="000000"/>
        </w:rPr>
        <w:t>Le dossier de consultation des entreprises (DCE) contient les pièces suivantes :</w:t>
      </w:r>
    </w:p>
    <w:p w14:paraId="3F86D163" w14:textId="77777777" w:rsidR="00FC4E8D" w:rsidRPr="00022D22" w:rsidRDefault="00D238AB">
      <w:pPr>
        <w:pStyle w:val="ParagrapheIndent1"/>
        <w:spacing w:line="270" w:lineRule="exact"/>
        <w:jc w:val="both"/>
        <w:rPr>
          <w:color w:val="000000"/>
        </w:rPr>
      </w:pPr>
      <w:r w:rsidRPr="00022D22">
        <w:rPr>
          <w:color w:val="000000"/>
        </w:rPr>
        <w:t>- L'acte d'engagement (AE) et ses annexes</w:t>
      </w:r>
    </w:p>
    <w:p w14:paraId="3F86D165" w14:textId="77777777" w:rsidR="00FC4E8D" w:rsidRPr="00022D22" w:rsidRDefault="00D238AB">
      <w:pPr>
        <w:pStyle w:val="ParagrapheIndent1"/>
        <w:spacing w:line="270" w:lineRule="exact"/>
        <w:jc w:val="both"/>
        <w:rPr>
          <w:color w:val="000000"/>
        </w:rPr>
      </w:pPr>
      <w:r w:rsidRPr="00022D22">
        <w:rPr>
          <w:color w:val="000000"/>
        </w:rPr>
        <w:t>- Le cahier des clauses administratives particulières (CCAP)</w:t>
      </w:r>
    </w:p>
    <w:p w14:paraId="6DC37767" w14:textId="4C2CB3D9" w:rsidR="00DA5CC8" w:rsidRPr="00022D22" w:rsidRDefault="00DA5CC8" w:rsidP="00DA5CC8">
      <w:pPr>
        <w:pStyle w:val="ParagrapheIndent1"/>
        <w:spacing w:line="270" w:lineRule="exact"/>
        <w:jc w:val="both"/>
        <w:rPr>
          <w:color w:val="000000"/>
        </w:rPr>
      </w:pPr>
      <w:r w:rsidRPr="00022D22">
        <w:rPr>
          <w:color w:val="000000"/>
        </w:rPr>
        <w:t>- Le règlement de la consultation (RC)</w:t>
      </w:r>
    </w:p>
    <w:p w14:paraId="3F86D166" w14:textId="77777777" w:rsidR="00FC4E8D" w:rsidRPr="00022D22" w:rsidRDefault="00D238AB">
      <w:pPr>
        <w:pStyle w:val="ParagrapheIndent1"/>
        <w:spacing w:line="270" w:lineRule="exact"/>
        <w:jc w:val="both"/>
        <w:rPr>
          <w:color w:val="000000"/>
        </w:rPr>
      </w:pPr>
      <w:r w:rsidRPr="00022D22">
        <w:rPr>
          <w:color w:val="000000"/>
        </w:rPr>
        <w:t>- Le cahier des clauses techniques particulières (CCTP) et ses annexes</w:t>
      </w:r>
    </w:p>
    <w:p w14:paraId="3F86D167" w14:textId="77777777" w:rsidR="00FC4E8D" w:rsidRPr="00022D22" w:rsidRDefault="00D238AB">
      <w:pPr>
        <w:pStyle w:val="ParagrapheIndent1"/>
        <w:spacing w:line="270" w:lineRule="exact"/>
        <w:jc w:val="both"/>
        <w:rPr>
          <w:color w:val="000000"/>
        </w:rPr>
      </w:pPr>
      <w:r w:rsidRPr="00022D22">
        <w:rPr>
          <w:color w:val="000000"/>
        </w:rPr>
        <w:t>- Le bordereau des prix unitaires valant détail quantitatif estimatif (BPU-DQE)</w:t>
      </w:r>
    </w:p>
    <w:p w14:paraId="11EA932E" w14:textId="667C1A62" w:rsidR="001B2EBA" w:rsidRPr="00022D22" w:rsidRDefault="001B2EBA" w:rsidP="001B2EBA">
      <w:pPr>
        <w:pStyle w:val="ParagrapheIndent1"/>
        <w:spacing w:line="270" w:lineRule="exact"/>
        <w:jc w:val="both"/>
        <w:rPr>
          <w:color w:val="000000"/>
        </w:rPr>
      </w:pPr>
      <w:r w:rsidRPr="00022D22">
        <w:t>-</w:t>
      </w:r>
      <w:r w:rsidRPr="00022D22">
        <w:rPr>
          <w:color w:val="000000"/>
        </w:rPr>
        <w:t xml:space="preserve"> Le cadre de mémoire</w:t>
      </w:r>
    </w:p>
    <w:p w14:paraId="3F86D168" w14:textId="77777777" w:rsidR="00FC4E8D" w:rsidRPr="00022D22" w:rsidRDefault="00D238AB">
      <w:pPr>
        <w:pStyle w:val="ParagrapheIndent1"/>
        <w:spacing w:line="270" w:lineRule="exact"/>
        <w:jc w:val="both"/>
        <w:rPr>
          <w:color w:val="000000"/>
        </w:rPr>
      </w:pPr>
      <w:r w:rsidRPr="00022D22">
        <w:rPr>
          <w:color w:val="000000"/>
        </w:rPr>
        <w:t>- L'annexe relative à la signature électronique</w:t>
      </w:r>
    </w:p>
    <w:p w14:paraId="3F86D169" w14:textId="77777777" w:rsidR="00FC4E8D" w:rsidRPr="00022D22" w:rsidRDefault="00D238AB">
      <w:pPr>
        <w:pStyle w:val="ParagrapheIndent1"/>
        <w:spacing w:line="270" w:lineRule="exact"/>
        <w:jc w:val="both"/>
        <w:rPr>
          <w:color w:val="000000"/>
        </w:rPr>
      </w:pPr>
      <w:r w:rsidRPr="00022D22">
        <w:rPr>
          <w:color w:val="000000"/>
        </w:rPr>
        <w:t>- Lettre de candidature (DC1) et déclaration du candidat (DC2)</w:t>
      </w:r>
    </w:p>
    <w:p w14:paraId="3F86D16B" w14:textId="53574C72" w:rsidR="00FC4E8D" w:rsidRPr="00022D22" w:rsidRDefault="00D238AB" w:rsidP="00527ABE">
      <w:pPr>
        <w:pStyle w:val="ParagrapheIndent1"/>
        <w:spacing w:line="270" w:lineRule="exact"/>
        <w:jc w:val="both"/>
        <w:rPr>
          <w:color w:val="000000"/>
        </w:rPr>
      </w:pPr>
      <w:r w:rsidRPr="00022D22">
        <w:rPr>
          <w:color w:val="000000"/>
        </w:rPr>
        <w:t>- La déclaration de sous-traitance (DC4) et sa notice explicative</w:t>
      </w:r>
    </w:p>
    <w:p w14:paraId="7FA390ED" w14:textId="77777777" w:rsidR="00527ABE" w:rsidRPr="00022D22" w:rsidRDefault="00527ABE" w:rsidP="00527ABE"/>
    <w:p w14:paraId="3F86D16C" w14:textId="77777777" w:rsidR="00FC4E8D" w:rsidRPr="00022D22" w:rsidRDefault="00D238AB">
      <w:pPr>
        <w:pStyle w:val="ParagrapheIndent1"/>
        <w:spacing w:line="270" w:lineRule="exact"/>
        <w:jc w:val="both"/>
        <w:rPr>
          <w:color w:val="000000"/>
        </w:rPr>
      </w:pPr>
      <w:r w:rsidRPr="00022D22">
        <w:rPr>
          <w:color w:val="000000"/>
        </w:rPr>
        <w:t>Le pouvoir adjudicateur attire l'attention du candidat qu'il est de sa responsabilité de déclarer des coordonnées valides. L'adresse email indiquée pour le téléchargement, sera la seule adresse utilisée pour informer le candidat des éventuelles modifications et transmettre les compléments d'information lors de la consultation.</w:t>
      </w:r>
    </w:p>
    <w:p w14:paraId="3F86D16D" w14:textId="77777777" w:rsidR="00FC4E8D" w:rsidRPr="00022D22" w:rsidRDefault="00FC4E8D">
      <w:pPr>
        <w:pStyle w:val="ParagrapheIndent1"/>
        <w:spacing w:line="270" w:lineRule="exact"/>
        <w:jc w:val="both"/>
        <w:rPr>
          <w:color w:val="000000"/>
        </w:rPr>
      </w:pPr>
    </w:p>
    <w:p w14:paraId="3F86D16E" w14:textId="77777777" w:rsidR="00FC4E8D" w:rsidRPr="00022D22" w:rsidRDefault="00D238AB">
      <w:pPr>
        <w:pStyle w:val="ParagrapheIndent1"/>
        <w:spacing w:after="240" w:line="270" w:lineRule="exact"/>
        <w:jc w:val="both"/>
        <w:rPr>
          <w:color w:val="000000"/>
        </w:rPr>
      </w:pPr>
      <w:r w:rsidRPr="00022D22">
        <w:rPr>
          <w:color w:val="000000"/>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3F86D16F" w14:textId="77777777" w:rsidR="00FC4E8D" w:rsidRPr="00022D22" w:rsidRDefault="00D238AB">
      <w:pPr>
        <w:pStyle w:val="ParagrapheIndent1"/>
        <w:spacing w:line="270" w:lineRule="exact"/>
        <w:jc w:val="both"/>
        <w:rPr>
          <w:color w:val="000000"/>
        </w:rPr>
      </w:pPr>
      <w:r w:rsidRPr="00022D22">
        <w:rPr>
          <w:color w:val="000000"/>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F86D170" w14:textId="77777777" w:rsidR="00FC4E8D" w:rsidRPr="00022D22" w:rsidRDefault="00FC4E8D">
      <w:pPr>
        <w:pStyle w:val="ParagrapheIndent1"/>
        <w:spacing w:line="270" w:lineRule="exact"/>
        <w:jc w:val="both"/>
        <w:rPr>
          <w:color w:val="000000"/>
        </w:rPr>
      </w:pPr>
    </w:p>
    <w:p w14:paraId="3F86D171" w14:textId="77777777" w:rsidR="00FC4E8D" w:rsidRPr="00022D22" w:rsidRDefault="00D238AB">
      <w:pPr>
        <w:pStyle w:val="ParagrapheIndent1"/>
        <w:spacing w:after="240" w:line="270" w:lineRule="exact"/>
        <w:jc w:val="both"/>
        <w:rPr>
          <w:color w:val="000000"/>
        </w:rPr>
      </w:pPr>
      <w:r w:rsidRPr="00022D22">
        <w:rPr>
          <w:color w:val="000000"/>
        </w:rPr>
        <w:t>Si, pendant l'étude du dossier par les candidats, la date limite de réception des offres est reportée, la disposition précédente est applicable en fonction de cette nouvelle date.</w:t>
      </w:r>
    </w:p>
    <w:p w14:paraId="3F86D174" w14:textId="1172E12D" w:rsidR="00FC4E8D" w:rsidRPr="00022D22" w:rsidRDefault="00D238AB" w:rsidP="00527ABE">
      <w:pPr>
        <w:pStyle w:val="Titre1"/>
        <w:shd w:val="clear" w:color="FD2456" w:fill="FD2456"/>
        <w:rPr>
          <w:rFonts w:ascii="Century Gothic" w:eastAsia="Century Gothic" w:hAnsi="Century Gothic" w:cs="Century Gothic"/>
          <w:color w:val="FFFFFF"/>
          <w:sz w:val="28"/>
        </w:rPr>
      </w:pPr>
      <w:bookmarkStart w:id="39" w:name="ArtL1_RC-2-A7"/>
      <w:bookmarkStart w:id="40" w:name="_Toc242256516"/>
      <w:bookmarkEnd w:id="39"/>
      <w:r w:rsidRPr="00022D22">
        <w:rPr>
          <w:rFonts w:ascii="Century Gothic" w:eastAsia="Century Gothic" w:hAnsi="Century Gothic" w:cs="Century Gothic"/>
          <w:color w:val="FFFFFF"/>
          <w:sz w:val="28"/>
        </w:rPr>
        <w:t>6 - Présentation des candidatures et des offres</w:t>
      </w:r>
      <w:bookmarkEnd w:id="40"/>
    </w:p>
    <w:p w14:paraId="3F86D175" w14:textId="5B2E3B55" w:rsidR="00FC4E8D" w:rsidRPr="00022D22" w:rsidRDefault="00D238AB">
      <w:pPr>
        <w:pStyle w:val="ParagrapheIndent1"/>
        <w:spacing w:line="270" w:lineRule="exact"/>
        <w:jc w:val="both"/>
        <w:rPr>
          <w:color w:val="000000"/>
        </w:rPr>
      </w:pPr>
      <w:r w:rsidRPr="00022D22">
        <w:rPr>
          <w:color w:val="000000"/>
        </w:rPr>
        <w:t xml:space="preserve">Les offres des candidats seront entièrement rédigées en </w:t>
      </w:r>
      <w:r w:rsidR="00527ABE" w:rsidRPr="00022D22">
        <w:rPr>
          <w:color w:val="000000"/>
        </w:rPr>
        <w:t>la</w:t>
      </w:r>
      <w:r w:rsidRPr="00022D22">
        <w:rPr>
          <w:color w:val="000000"/>
        </w:rPr>
        <w:t>ngue française et exprimées en EURO.</w:t>
      </w:r>
    </w:p>
    <w:p w14:paraId="6E65D5FE" w14:textId="16C9A2ED" w:rsidR="000C3EED" w:rsidRPr="00022D22" w:rsidRDefault="00D238AB" w:rsidP="00ED227F">
      <w:pPr>
        <w:pStyle w:val="ParagrapheIndent1"/>
        <w:spacing w:after="80" w:line="270" w:lineRule="exact"/>
        <w:jc w:val="both"/>
        <w:rPr>
          <w:color w:val="000000"/>
        </w:rPr>
      </w:pPr>
      <w:r w:rsidRPr="00022D22">
        <w:rPr>
          <w:color w:val="000000"/>
        </w:rPr>
        <w:t>Si les offres des candidats sont rédigées dans une autre langue, elles doivent être accompagnées d'une traduction en français, cette traduction doit concerner l'ensemble des documents remis dans l'offre.</w:t>
      </w:r>
    </w:p>
    <w:p w14:paraId="0C9C8845" w14:textId="77777777" w:rsidR="000C3EED" w:rsidRPr="00022D22" w:rsidRDefault="000C3EED" w:rsidP="000C3EED"/>
    <w:p w14:paraId="3F86D178"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41" w:name="ArtL2_RC-2-A7.5"/>
      <w:bookmarkStart w:id="42" w:name="_Toc242256517"/>
      <w:bookmarkEnd w:id="41"/>
      <w:r w:rsidRPr="00022D22">
        <w:rPr>
          <w:rFonts w:ascii="Century Gothic" w:eastAsia="Century Gothic" w:hAnsi="Century Gothic" w:cs="Century Gothic"/>
          <w:i w:val="0"/>
          <w:color w:val="000000"/>
          <w:sz w:val="24"/>
        </w:rPr>
        <w:lastRenderedPageBreak/>
        <w:t>6.1 - Documents à produire</w:t>
      </w:r>
      <w:bookmarkEnd w:id="42"/>
    </w:p>
    <w:p w14:paraId="3F86D179" w14:textId="77777777" w:rsidR="00FC4E8D" w:rsidRPr="00022D22" w:rsidRDefault="00D238AB">
      <w:pPr>
        <w:pStyle w:val="ParagrapheIndent2"/>
        <w:spacing w:line="270" w:lineRule="exact"/>
        <w:jc w:val="both"/>
        <w:rPr>
          <w:color w:val="000000"/>
        </w:rPr>
      </w:pPr>
      <w:r w:rsidRPr="00022D22">
        <w:rPr>
          <w:color w:val="000000"/>
        </w:rPr>
        <w:t>Chaque candidat aura à produire un dossier complet comprenant les pièces suivantes :</w:t>
      </w:r>
    </w:p>
    <w:p w14:paraId="3F86D17A" w14:textId="77777777" w:rsidR="00FC4E8D" w:rsidRPr="00022D22" w:rsidRDefault="00FC4E8D">
      <w:pPr>
        <w:pStyle w:val="ParagrapheIndent2"/>
        <w:spacing w:line="270" w:lineRule="exact"/>
        <w:jc w:val="both"/>
        <w:rPr>
          <w:color w:val="000000"/>
        </w:rPr>
      </w:pPr>
    </w:p>
    <w:p w14:paraId="3F86D17B" w14:textId="79CE3510" w:rsidR="00FC4E8D" w:rsidRPr="00022D22" w:rsidRDefault="00D238AB">
      <w:pPr>
        <w:pStyle w:val="ParagrapheIndent2"/>
        <w:spacing w:line="270" w:lineRule="exact"/>
        <w:jc w:val="both"/>
        <w:rPr>
          <w:color w:val="000000"/>
        </w:rPr>
      </w:pPr>
      <w:r w:rsidRPr="00022D22">
        <w:rPr>
          <w:color w:val="000000"/>
        </w:rPr>
        <w:t xml:space="preserve">Pièces de la candidature telles que prévues aux articles L. 2142-1, R. 2142-3, R. 2142-4, R. 2143-3 et R. 2143-4 du Code de la </w:t>
      </w:r>
      <w:r w:rsidR="000C3EED" w:rsidRPr="00022D22">
        <w:rPr>
          <w:color w:val="000000"/>
        </w:rPr>
        <w:t>C</w:t>
      </w:r>
      <w:r w:rsidRPr="00022D22">
        <w:rPr>
          <w:color w:val="000000"/>
        </w:rPr>
        <w:t xml:space="preserve">ommande </w:t>
      </w:r>
      <w:r w:rsidR="000C3EED" w:rsidRPr="00022D22">
        <w:rPr>
          <w:color w:val="000000"/>
        </w:rPr>
        <w:t>P</w:t>
      </w:r>
      <w:r w:rsidRPr="00022D22">
        <w:rPr>
          <w:color w:val="000000"/>
        </w:rPr>
        <w:t>ublique :</w:t>
      </w:r>
    </w:p>
    <w:p w14:paraId="3F86D17C" w14:textId="77777777" w:rsidR="00FC4E8D" w:rsidRPr="00022D22" w:rsidRDefault="00FC4E8D">
      <w:pPr>
        <w:pStyle w:val="ParagrapheIndent2"/>
        <w:spacing w:line="270" w:lineRule="exact"/>
        <w:jc w:val="both"/>
        <w:rPr>
          <w:color w:val="000000"/>
        </w:rPr>
      </w:pPr>
    </w:p>
    <w:p w14:paraId="3F86D17D" w14:textId="77777777" w:rsidR="00FC4E8D" w:rsidRPr="00022D22" w:rsidRDefault="00D238AB">
      <w:pPr>
        <w:pStyle w:val="ParagrapheIndent2"/>
        <w:spacing w:line="270" w:lineRule="exact"/>
        <w:jc w:val="both"/>
        <w:rPr>
          <w:color w:val="000000"/>
        </w:rPr>
      </w:pPr>
      <w:r w:rsidRPr="00022D22">
        <w:rPr>
          <w:color w:val="000000"/>
        </w:rPr>
        <w:t>Renseignements concernant la situation juridique de l'entreprise :</w:t>
      </w:r>
    </w:p>
    <w:p w14:paraId="3F86D17E"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400"/>
        <w:gridCol w:w="1200"/>
      </w:tblGrid>
      <w:tr w:rsidR="00FC4E8D" w:rsidRPr="00022D22" w14:paraId="3F86D18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7F" w14:textId="77777777" w:rsidR="00FC4E8D" w:rsidRPr="00022D22" w:rsidRDefault="00D238AB">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80" w14:textId="77777777" w:rsidR="00FC4E8D" w:rsidRPr="00022D22" w:rsidRDefault="00D238AB">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Signature</w:t>
            </w:r>
          </w:p>
        </w:tc>
      </w:tr>
      <w:tr w:rsidR="00FC4E8D" w:rsidRPr="00022D22" w14:paraId="3F86D184"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82" w14:textId="77777777"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83" w14:textId="1A589646" w:rsidR="00FC4E8D" w:rsidRPr="00022D22" w:rsidRDefault="00C4707F">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r w:rsidR="00FC4E8D" w:rsidRPr="00022D22" w14:paraId="3F86D18B" w14:textId="77777777">
        <w:trPr>
          <w:trHeight w:val="119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88" w14:textId="77777777"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Copie du ou des jugements prononcés, si le candidat est en redressement judiciaire ;</w:t>
            </w:r>
          </w:p>
          <w:p w14:paraId="3F86D189" w14:textId="77777777"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ATTENTION : dans l’hypothèse où un candidat serait placé en redressement judiciaire après le dépôt de son offre, il doit en informer sans délai le pouvoir adjudicateur.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8A" w14:textId="77777777" w:rsidR="00FC4E8D" w:rsidRPr="00022D22" w:rsidRDefault="00D238AB">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r w:rsidR="00FC4E8D" w:rsidRPr="00022D22" w14:paraId="3F86D191"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8F" w14:textId="77777777"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90" w14:textId="77777777" w:rsidR="00FC4E8D" w:rsidRPr="00022D22" w:rsidRDefault="00D238AB">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bl>
    <w:p w14:paraId="3F86D192" w14:textId="77777777" w:rsidR="00FC4E8D" w:rsidRPr="00022D22" w:rsidRDefault="00D238AB">
      <w:pPr>
        <w:spacing w:after="400" w:line="240" w:lineRule="exact"/>
      </w:pPr>
      <w:r w:rsidRPr="00022D22">
        <w:t xml:space="preserve"> </w:t>
      </w:r>
    </w:p>
    <w:p w14:paraId="3F86D193" w14:textId="77777777" w:rsidR="00FC4E8D" w:rsidRPr="00022D22" w:rsidRDefault="00D238AB">
      <w:pPr>
        <w:pStyle w:val="ParagrapheIndent2"/>
        <w:spacing w:line="270" w:lineRule="exact"/>
        <w:jc w:val="both"/>
        <w:rPr>
          <w:color w:val="000000"/>
        </w:rPr>
      </w:pPr>
      <w:r w:rsidRPr="00022D22">
        <w:rPr>
          <w:color w:val="000000"/>
        </w:rPr>
        <w:t>Renseignements concernant la capacité économique et financière de l'entreprise :</w:t>
      </w:r>
    </w:p>
    <w:p w14:paraId="3F86D194"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000"/>
        <w:gridCol w:w="1600"/>
      </w:tblGrid>
      <w:tr w:rsidR="00FC4E8D" w:rsidRPr="00022D22" w14:paraId="3F86D197"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95"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96"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Signature</w:t>
            </w:r>
          </w:p>
        </w:tc>
      </w:tr>
      <w:tr w:rsidR="00FC4E8D" w:rsidRPr="00022D22" w14:paraId="3F86D19A"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98" w14:textId="77777777" w:rsidR="00FC4E8D" w:rsidRPr="00022D22" w:rsidRDefault="00D238AB">
            <w:pPr>
              <w:spacing w:before="20" w:after="20" w:line="270" w:lineRule="exact"/>
              <w:ind w:left="40" w:right="40"/>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99" w14:textId="77777777" w:rsidR="00FC4E8D" w:rsidRPr="00022D22" w:rsidRDefault="00D238AB">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r w:rsidR="00FC4E8D" w:rsidRPr="00022D22" w14:paraId="3F86D19D"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9B" w14:textId="77777777" w:rsidR="00FC4E8D" w:rsidRPr="00022D22" w:rsidRDefault="00D238AB">
            <w:pPr>
              <w:spacing w:before="20" w:after="20" w:line="270" w:lineRule="exact"/>
              <w:ind w:left="40" w:right="40"/>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9C" w14:textId="77777777" w:rsidR="00FC4E8D" w:rsidRPr="00022D22" w:rsidRDefault="00D238AB">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bl>
    <w:p w14:paraId="4E37E09F" w14:textId="77777777" w:rsidR="006A2ED3" w:rsidRPr="00022D22" w:rsidRDefault="006A2ED3">
      <w:pPr>
        <w:pStyle w:val="ParagrapheIndent2"/>
        <w:spacing w:line="270" w:lineRule="exact"/>
        <w:jc w:val="both"/>
        <w:rPr>
          <w:color w:val="000000"/>
        </w:rPr>
      </w:pPr>
    </w:p>
    <w:p w14:paraId="3F86D19F" w14:textId="75A82246" w:rsidR="00FC4E8D" w:rsidRPr="00022D22" w:rsidRDefault="00D238AB">
      <w:pPr>
        <w:pStyle w:val="ParagrapheIndent2"/>
        <w:spacing w:line="270" w:lineRule="exact"/>
        <w:jc w:val="both"/>
        <w:rPr>
          <w:color w:val="000000"/>
        </w:rPr>
      </w:pPr>
      <w:r w:rsidRPr="00022D22">
        <w:rPr>
          <w:color w:val="000000"/>
        </w:rPr>
        <w:t>Renseignements concernant les références professionnelles et la capacité technique de l'entreprise :</w:t>
      </w:r>
    </w:p>
    <w:p w14:paraId="3F86D1A0"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000"/>
        <w:gridCol w:w="1600"/>
      </w:tblGrid>
      <w:tr w:rsidR="00FC4E8D" w:rsidRPr="00022D22" w14:paraId="3F86D1A3"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A1"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A2" w14:textId="77777777" w:rsidR="00FC4E8D" w:rsidRPr="00022D22" w:rsidRDefault="00D238AB">
            <w:pPr>
              <w:spacing w:before="120" w:after="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Signature</w:t>
            </w:r>
          </w:p>
        </w:tc>
      </w:tr>
      <w:tr w:rsidR="00FC4E8D" w:rsidRPr="00022D22" w14:paraId="3F86D1A6" w14:textId="77777777">
        <w:trPr>
          <w:trHeight w:val="101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A4" w14:textId="77777777" w:rsidR="00FC4E8D" w:rsidRPr="00022D22" w:rsidRDefault="00D238AB">
            <w:pPr>
              <w:spacing w:before="20" w:after="20" w:line="270" w:lineRule="exact"/>
              <w:ind w:left="40" w:right="40"/>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Liste des travaux exécutés au cours des trois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A5" w14:textId="77777777" w:rsidR="00FC4E8D" w:rsidRPr="00022D22" w:rsidRDefault="00D238AB">
            <w:pPr>
              <w:spacing w:before="20" w:after="20"/>
              <w:ind w:left="40" w:right="4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bl>
    <w:p w14:paraId="3F86D1A7" w14:textId="507C250E" w:rsidR="00FC4E8D" w:rsidRPr="00022D22" w:rsidRDefault="00FC4E8D">
      <w:pPr>
        <w:spacing w:after="100" w:line="240" w:lineRule="exact"/>
        <w:sectPr w:rsidR="00FC4E8D" w:rsidRPr="00022D22">
          <w:footerReference w:type="default" r:id="rId22"/>
          <w:pgSz w:w="11900" w:h="16840"/>
          <w:pgMar w:top="1140" w:right="1140" w:bottom="580" w:left="1140" w:header="1140" w:footer="580" w:gutter="0"/>
          <w:cols w:space="708"/>
        </w:sectPr>
      </w:pPr>
    </w:p>
    <w:p w14:paraId="3F86D1A9" w14:textId="77777777" w:rsidR="00FC4E8D" w:rsidRPr="00022D22" w:rsidRDefault="00D238AB">
      <w:pPr>
        <w:pStyle w:val="ParagrapheIndent2"/>
        <w:spacing w:after="240" w:line="270" w:lineRule="exact"/>
        <w:jc w:val="both"/>
        <w:rPr>
          <w:color w:val="000000"/>
        </w:rPr>
      </w:pPr>
      <w:r w:rsidRPr="00022D22">
        <w:rPr>
          <w:color w:val="000000"/>
        </w:rPr>
        <w:lastRenderedPageBreak/>
        <w:t>Pour présenter leur candidature, les candidats utilisent soit les formulaires DC1 (lettre de candidature) et DC2 (déclaration du candidat) joints au présent dossier consultation des entreprises (DCE) et disponibles gratuitement sur le site www.economie.gouv.fr, soit le Document Unique de Marché Européen (DUME).</w:t>
      </w:r>
    </w:p>
    <w:p w14:paraId="3F86D1AA" w14:textId="77777777" w:rsidR="00FC4E8D" w:rsidRPr="00022D22" w:rsidRDefault="00D238AB">
      <w:pPr>
        <w:pStyle w:val="ParagrapheIndent2"/>
        <w:spacing w:after="240" w:line="270" w:lineRule="exact"/>
        <w:jc w:val="both"/>
        <w:rPr>
          <w:color w:val="000000"/>
        </w:rPr>
      </w:pPr>
      <w:r w:rsidRPr="00022D22">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F86D1AB" w14:textId="77777777" w:rsidR="00FC4E8D" w:rsidRPr="00022D22" w:rsidRDefault="00D238AB">
      <w:pPr>
        <w:pStyle w:val="ParagrapheIndent2"/>
        <w:spacing w:line="270" w:lineRule="exact"/>
        <w:jc w:val="both"/>
        <w:rPr>
          <w:color w:val="000000"/>
        </w:rPr>
      </w:pPr>
      <w:r w:rsidRPr="00022D22">
        <w:rPr>
          <w:color w:val="000000"/>
        </w:rPr>
        <w:t>Pièces de l'offre :</w:t>
      </w:r>
    </w:p>
    <w:p w14:paraId="3F86D1AC"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8400"/>
        <w:gridCol w:w="1200"/>
      </w:tblGrid>
      <w:tr w:rsidR="00FC4E8D" w:rsidRPr="00022D22" w14:paraId="3F86D1A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AD" w14:textId="77777777" w:rsidR="00FC4E8D" w:rsidRPr="00022D22" w:rsidRDefault="00D238AB">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1AE" w14:textId="77777777" w:rsidR="00FC4E8D" w:rsidRPr="00022D22" w:rsidRDefault="00D238AB">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Signature</w:t>
            </w:r>
          </w:p>
        </w:tc>
      </w:tr>
      <w:tr w:rsidR="00FC4E8D" w:rsidRPr="00022D22" w14:paraId="3F86D1B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0" w14:textId="77777777" w:rsidR="00FC4E8D" w:rsidRPr="00022D22" w:rsidRDefault="00D238AB">
            <w:pPr>
              <w:spacing w:before="4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1" w14:textId="77777777" w:rsidR="00FC4E8D" w:rsidRPr="00022D22" w:rsidRDefault="00D238AB">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Oui</w:t>
            </w:r>
          </w:p>
        </w:tc>
      </w:tr>
      <w:tr w:rsidR="00FC4E8D" w:rsidRPr="00022D22" w14:paraId="3F86D1B5"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3" w14:textId="0E03B971" w:rsidR="00FC4E8D" w:rsidRPr="00022D22" w:rsidRDefault="00D238AB">
            <w:pPr>
              <w:spacing w:before="4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 xml:space="preserve">Le bordereau des prix unitaires valant détail quantitatif estimatif </w:t>
            </w:r>
            <w:r w:rsidR="00CB5A7F" w:rsidRPr="00022D22">
              <w:rPr>
                <w:rFonts w:ascii="Century Gothic" w:eastAsia="Century Gothic" w:hAnsi="Century Gothic" w:cs="Century Gothic"/>
                <w:color w:val="000000"/>
                <w:sz w:val="22"/>
              </w:rPr>
              <w:t>(BPU-DQE)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4" w14:textId="77777777" w:rsidR="00FC4E8D" w:rsidRPr="00022D22" w:rsidRDefault="00D238AB">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Oui</w:t>
            </w:r>
          </w:p>
        </w:tc>
      </w:tr>
      <w:tr w:rsidR="00FC4E8D" w:rsidRPr="00022D22" w14:paraId="3F86D1B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6" w14:textId="77777777" w:rsidR="00FC4E8D" w:rsidRPr="00022D22" w:rsidRDefault="00D238AB">
            <w:pPr>
              <w:spacing w:before="4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Le cadre de mémoire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1B7" w14:textId="77777777" w:rsidR="00FC4E8D" w:rsidRPr="00022D22" w:rsidRDefault="00D238AB">
            <w:pPr>
              <w:spacing w:before="40"/>
              <w:ind w:left="80" w:right="8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Non</w:t>
            </w:r>
          </w:p>
        </w:tc>
      </w:tr>
    </w:tbl>
    <w:p w14:paraId="7B192503" w14:textId="77777777" w:rsidR="009A4024" w:rsidRPr="00022D22" w:rsidRDefault="009A4024">
      <w:pPr>
        <w:pStyle w:val="ParagrapheIndent2"/>
        <w:spacing w:after="240" w:line="270" w:lineRule="exact"/>
        <w:jc w:val="both"/>
        <w:rPr>
          <w:color w:val="000000"/>
        </w:rPr>
      </w:pPr>
    </w:p>
    <w:p w14:paraId="3F86D1BF" w14:textId="392C7F37" w:rsidR="00FC4E8D" w:rsidRPr="00022D22" w:rsidRDefault="00D238AB">
      <w:pPr>
        <w:pStyle w:val="ParagrapheIndent2"/>
        <w:spacing w:after="240" w:line="270" w:lineRule="exact"/>
        <w:jc w:val="both"/>
        <w:rPr>
          <w:color w:val="000000"/>
        </w:rPr>
      </w:pPr>
      <w:r w:rsidRPr="00022D22">
        <w:rPr>
          <w:color w:val="000000"/>
        </w:rPr>
        <w:t xml:space="preserve">Dans un souci de simplification de l’analyse des offres, il est demandé aux candidats de remettre le </w:t>
      </w:r>
      <w:r w:rsidR="0096761D" w:rsidRPr="00022D22">
        <w:rPr>
          <w:color w:val="000000"/>
        </w:rPr>
        <w:t xml:space="preserve">BPU-DQE </w:t>
      </w:r>
      <w:r w:rsidRPr="00022D22">
        <w:rPr>
          <w:color w:val="000000"/>
        </w:rPr>
        <w:t>dans un format Excel. </w:t>
      </w:r>
    </w:p>
    <w:p w14:paraId="3F86D1C0" w14:textId="77777777" w:rsidR="00FC4E8D" w:rsidRPr="00022D22" w:rsidRDefault="00D238AB">
      <w:pPr>
        <w:pStyle w:val="ParagrapheIndent2"/>
        <w:spacing w:after="240" w:line="270" w:lineRule="exact"/>
        <w:jc w:val="both"/>
        <w:rPr>
          <w:color w:val="000000"/>
        </w:rPr>
      </w:pPr>
      <w:r w:rsidRPr="00022D22">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3F86D1C1"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43" w:name="ArtL1_RC-2-A8"/>
      <w:bookmarkStart w:id="44" w:name="_Toc242256518"/>
      <w:bookmarkEnd w:id="43"/>
      <w:r w:rsidRPr="00022D22">
        <w:rPr>
          <w:rFonts w:ascii="Century Gothic" w:eastAsia="Century Gothic" w:hAnsi="Century Gothic" w:cs="Century Gothic"/>
          <w:color w:val="FFFFFF"/>
          <w:sz w:val="28"/>
        </w:rPr>
        <w:t>7 - Conditions d'envoi ou de remise des plis</w:t>
      </w:r>
      <w:bookmarkEnd w:id="44"/>
    </w:p>
    <w:p w14:paraId="3F86D1C2" w14:textId="77777777" w:rsidR="00FC4E8D" w:rsidRPr="00022D22" w:rsidRDefault="00D238AB">
      <w:pPr>
        <w:spacing w:line="60" w:lineRule="exact"/>
        <w:rPr>
          <w:sz w:val="6"/>
        </w:rPr>
      </w:pPr>
      <w:r w:rsidRPr="00022D22">
        <w:t xml:space="preserve"> </w:t>
      </w:r>
    </w:p>
    <w:p w14:paraId="3F86D1C3" w14:textId="77777777" w:rsidR="00FC4E8D" w:rsidRPr="00022D22" w:rsidRDefault="00D238AB">
      <w:pPr>
        <w:pStyle w:val="ParagrapheIndent1"/>
        <w:spacing w:after="240" w:line="270" w:lineRule="exact"/>
        <w:jc w:val="both"/>
        <w:rPr>
          <w:color w:val="000000"/>
        </w:rPr>
      </w:pPr>
      <w:r w:rsidRPr="00022D22">
        <w:rPr>
          <w:color w:val="000000"/>
        </w:rPr>
        <w:t>Les plis devront parvenir à destination avant la date et l'heure limites de réception des offres indiquées sur la page de garde du présent document.</w:t>
      </w:r>
    </w:p>
    <w:p w14:paraId="3F86D1C4"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45" w:name="ArtL2_RC-2-A8.4"/>
      <w:bookmarkStart w:id="46" w:name="_Toc242256519"/>
      <w:bookmarkEnd w:id="45"/>
      <w:r w:rsidRPr="00022D22">
        <w:rPr>
          <w:rFonts w:ascii="Century Gothic" w:eastAsia="Century Gothic" w:hAnsi="Century Gothic" w:cs="Century Gothic"/>
          <w:i w:val="0"/>
          <w:color w:val="000000"/>
          <w:sz w:val="24"/>
        </w:rPr>
        <w:t>7.1 - Transmission électronique</w:t>
      </w:r>
      <w:bookmarkEnd w:id="46"/>
    </w:p>
    <w:p w14:paraId="3F86D1C5" w14:textId="77777777" w:rsidR="00FC4E8D" w:rsidRPr="00022D22" w:rsidRDefault="00D238AB">
      <w:pPr>
        <w:pStyle w:val="ParagrapheIndent2"/>
        <w:spacing w:line="270" w:lineRule="exact"/>
        <w:jc w:val="both"/>
        <w:rPr>
          <w:color w:val="000000"/>
        </w:rPr>
      </w:pPr>
      <w:r w:rsidRPr="00022D22">
        <w:rPr>
          <w:color w:val="000000"/>
        </w:rPr>
        <w:t>La transmission des documents par voie électronique est effectuée sur le profil d'acheteur du pouvoir adjudicateur, à l'adresse URL suivante : http://agysoft.marches-publics.info.</w:t>
      </w:r>
    </w:p>
    <w:p w14:paraId="3F86D1C6" w14:textId="77777777" w:rsidR="00FC4E8D" w:rsidRPr="00022D22" w:rsidRDefault="00FC4E8D">
      <w:pPr>
        <w:pStyle w:val="ParagrapheIndent2"/>
        <w:spacing w:line="270" w:lineRule="exact"/>
        <w:jc w:val="both"/>
        <w:rPr>
          <w:color w:val="000000"/>
        </w:rPr>
      </w:pPr>
    </w:p>
    <w:p w14:paraId="3F86D1C7" w14:textId="77777777" w:rsidR="00FC4E8D" w:rsidRPr="00022D22" w:rsidRDefault="00D238AB">
      <w:pPr>
        <w:pStyle w:val="ParagrapheIndent2"/>
        <w:spacing w:line="270" w:lineRule="exact"/>
        <w:jc w:val="both"/>
        <w:rPr>
          <w:color w:val="000000"/>
        </w:rPr>
      </w:pPr>
      <w:r w:rsidRPr="00022D22">
        <w:rPr>
          <w:color w:val="000000"/>
        </w:rPr>
        <w:t>Les conditions générales d’utilisation (CGU) du profil acheteur ainsi que les coordonnées de l’assistance technique d’AWS sont accessibles ici : https://awsolutions.fr/blog/cgu/. Tout candidat est présumé avoir pris connaissance des CGU.</w:t>
      </w:r>
    </w:p>
    <w:p w14:paraId="3F86D1C8" w14:textId="77777777" w:rsidR="00FC4E8D" w:rsidRPr="00022D22" w:rsidRDefault="00FC4E8D">
      <w:pPr>
        <w:pStyle w:val="ParagrapheIndent2"/>
        <w:spacing w:line="270" w:lineRule="exact"/>
        <w:jc w:val="both"/>
        <w:rPr>
          <w:color w:val="000000"/>
        </w:rPr>
      </w:pPr>
    </w:p>
    <w:p w14:paraId="3F86D1C9" w14:textId="77777777" w:rsidR="00FC4E8D" w:rsidRPr="00022D22" w:rsidRDefault="00D238AB">
      <w:pPr>
        <w:pStyle w:val="ParagrapheIndent2"/>
        <w:spacing w:line="270" w:lineRule="exact"/>
        <w:jc w:val="both"/>
        <w:rPr>
          <w:color w:val="000000"/>
        </w:rPr>
      </w:pPr>
      <w:r w:rsidRPr="00022D22">
        <w:rPr>
          <w:color w:val="000000"/>
        </w:rPr>
        <w:t>La taille maximale des fichiers est de 3 Go par fichier et de 5 Go pour l’ensemble du pli.</w:t>
      </w:r>
    </w:p>
    <w:p w14:paraId="3F86D1CA" w14:textId="77777777" w:rsidR="00FC4E8D" w:rsidRPr="00022D22" w:rsidRDefault="00FC4E8D">
      <w:pPr>
        <w:pStyle w:val="ParagrapheIndent2"/>
        <w:spacing w:line="270" w:lineRule="exact"/>
        <w:jc w:val="both"/>
        <w:rPr>
          <w:color w:val="000000"/>
        </w:rPr>
      </w:pPr>
    </w:p>
    <w:p w14:paraId="20AEDC05" w14:textId="77777777" w:rsidR="00CB5A7F" w:rsidRPr="00022D22" w:rsidRDefault="00D238AB">
      <w:pPr>
        <w:pStyle w:val="ParagrapheIndent2"/>
        <w:spacing w:line="270" w:lineRule="exact"/>
        <w:jc w:val="both"/>
        <w:rPr>
          <w:color w:val="000000"/>
        </w:rPr>
      </w:pPr>
      <w:r w:rsidRPr="00022D22">
        <w:rPr>
          <w:color w:val="000000"/>
        </w:rPr>
        <w:t>Le choix du mode de transmission est global et irréversible. Les candidats doivent appliquer le même mode de transmission à l'ensemble des documents transmis au pouvoir adjudicateur.</w:t>
      </w:r>
    </w:p>
    <w:p w14:paraId="3F86D1CB" w14:textId="50578F20" w:rsidR="00FC4E8D" w:rsidRPr="00022D22" w:rsidRDefault="00834144">
      <w:pPr>
        <w:pStyle w:val="ParagrapheIndent2"/>
        <w:spacing w:line="270" w:lineRule="exact"/>
        <w:jc w:val="both"/>
        <w:rPr>
          <w:color w:val="000000"/>
        </w:rPr>
        <w:sectPr w:rsidR="00FC4E8D" w:rsidRPr="00022D22">
          <w:footerReference w:type="default" r:id="rId23"/>
          <w:pgSz w:w="11900" w:h="16840"/>
          <w:pgMar w:top="1440" w:right="1140" w:bottom="580" w:left="1140" w:header="1440" w:footer="580" w:gutter="0"/>
          <w:cols w:space="708"/>
        </w:sectPr>
      </w:pPr>
      <w:r w:rsidRPr="00022D22">
        <w:rPr>
          <w:color w:val="000000"/>
        </w:rPr>
        <w:t xml:space="preserve">                                                                                                             </w:t>
      </w:r>
      <w:r w:rsidR="00D238AB" w:rsidRPr="00022D22">
        <w:rPr>
          <w:color w:val="000000"/>
        </w:rPr>
        <w:cr/>
      </w:r>
    </w:p>
    <w:p w14:paraId="3F86D1CC" w14:textId="77777777" w:rsidR="00FC4E8D" w:rsidRPr="00022D22" w:rsidRDefault="00D238AB">
      <w:pPr>
        <w:pStyle w:val="ParagrapheIndent2"/>
        <w:spacing w:line="270" w:lineRule="exact"/>
        <w:jc w:val="both"/>
        <w:rPr>
          <w:color w:val="000000"/>
        </w:rPr>
      </w:pPr>
      <w:r w:rsidRPr="00022D22">
        <w:rPr>
          <w:color w:val="000000"/>
        </w:rPr>
        <w:lastRenderedPageBreak/>
        <w:t>Le pli doit contenir deux dossiers distincts comportant respectivement les pièces de la candidature et les pièces de l'offre définies au présent règlement de la consultation.</w:t>
      </w:r>
    </w:p>
    <w:p w14:paraId="3F86D1CD" w14:textId="77777777" w:rsidR="00FC4E8D" w:rsidRPr="00022D22" w:rsidRDefault="00FC4E8D">
      <w:pPr>
        <w:pStyle w:val="ParagrapheIndent2"/>
        <w:spacing w:line="270" w:lineRule="exact"/>
        <w:jc w:val="both"/>
        <w:rPr>
          <w:color w:val="000000"/>
        </w:rPr>
      </w:pPr>
    </w:p>
    <w:p w14:paraId="3F86D1CE" w14:textId="77777777" w:rsidR="00FC4E8D" w:rsidRPr="00022D22" w:rsidRDefault="00D238AB">
      <w:pPr>
        <w:pStyle w:val="ParagrapheIndent2"/>
        <w:spacing w:line="270" w:lineRule="exact"/>
        <w:jc w:val="both"/>
        <w:rPr>
          <w:color w:val="000000"/>
        </w:rPr>
      </w:pPr>
      <w:r w:rsidRPr="00022D22">
        <w:rPr>
          <w:color w:val="000000"/>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F86D1CF" w14:textId="77777777" w:rsidR="00FC4E8D" w:rsidRPr="00022D22" w:rsidRDefault="00FC4E8D">
      <w:pPr>
        <w:pStyle w:val="ParagrapheIndent2"/>
        <w:spacing w:line="270" w:lineRule="exact"/>
        <w:jc w:val="both"/>
        <w:rPr>
          <w:color w:val="000000"/>
        </w:rPr>
      </w:pPr>
    </w:p>
    <w:p w14:paraId="3F86D1D0" w14:textId="77777777" w:rsidR="00FC4E8D" w:rsidRPr="00022D22" w:rsidRDefault="00D238AB">
      <w:pPr>
        <w:pStyle w:val="ParagrapheIndent2"/>
        <w:spacing w:after="240" w:line="270" w:lineRule="exact"/>
        <w:jc w:val="both"/>
        <w:rPr>
          <w:color w:val="000000"/>
        </w:rPr>
      </w:pPr>
      <w:r w:rsidRPr="00022D22">
        <w:rPr>
          <w:color w:val="000000"/>
        </w:rPr>
        <w:t xml:space="preserve">Si plusieurs plis sont transmis successivement par le même candidat, </w:t>
      </w:r>
      <w:r w:rsidRPr="00022D22">
        <w:rPr>
          <w:b/>
          <w:color w:val="000000"/>
        </w:rPr>
        <w:t>seul le dernier pli transmis dans le délai imparti est pris en compte par l'acheteur.</w:t>
      </w:r>
      <w:r w:rsidRPr="00022D22">
        <w:rPr>
          <w:color w:val="000000"/>
        </w:rPr>
        <w:t xml:space="preserve"> Il doit par conséquent contenir l'ensemble des pièces exigées au titre de la présente consultation.</w:t>
      </w:r>
    </w:p>
    <w:p w14:paraId="3F86D1D1" w14:textId="77777777" w:rsidR="00FC4E8D" w:rsidRPr="00022D22" w:rsidRDefault="00D238AB">
      <w:pPr>
        <w:pStyle w:val="ParagrapheIndent2"/>
        <w:spacing w:line="270" w:lineRule="exact"/>
        <w:jc w:val="both"/>
        <w:rPr>
          <w:color w:val="000000"/>
        </w:rPr>
      </w:pPr>
      <w:r w:rsidRPr="00022D22">
        <w:rPr>
          <w:color w:val="000000"/>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3F86D1D2" w14:textId="77777777" w:rsidR="00FC4E8D" w:rsidRPr="00022D22" w:rsidRDefault="00D238AB">
      <w:pPr>
        <w:pStyle w:val="ParagrapheIndent2"/>
        <w:spacing w:line="270" w:lineRule="exact"/>
        <w:jc w:val="both"/>
        <w:rPr>
          <w:color w:val="000000"/>
        </w:rPr>
      </w:pPr>
      <w:r w:rsidRPr="00022D22">
        <w:rPr>
          <w:color w:val="000000"/>
        </w:rPr>
        <w:t>- lorsqu'un programme informatique malveillant est détecté dans le pli transmis par voie électronique ;</w:t>
      </w:r>
    </w:p>
    <w:p w14:paraId="3F86D1D3" w14:textId="77777777" w:rsidR="00FC4E8D" w:rsidRPr="00022D22" w:rsidRDefault="00D238AB">
      <w:pPr>
        <w:pStyle w:val="ParagrapheIndent2"/>
        <w:spacing w:line="270" w:lineRule="exact"/>
        <w:jc w:val="both"/>
        <w:rPr>
          <w:color w:val="000000"/>
        </w:rPr>
      </w:pPr>
      <w:r w:rsidRPr="00022D22">
        <w:rPr>
          <w:color w:val="000000"/>
        </w:rPr>
        <w:t>- lorsque le pli électronique est reçu de façon incomplète, hors délai ou n'a pu être ouvert, à condition que sa transmission ait commencé avant la clôture de la remise des plis.</w:t>
      </w:r>
    </w:p>
    <w:p w14:paraId="3F86D1D4" w14:textId="77777777" w:rsidR="00FC4E8D" w:rsidRPr="00022D22" w:rsidRDefault="00FC4E8D">
      <w:pPr>
        <w:pStyle w:val="ParagrapheIndent2"/>
        <w:spacing w:line="270" w:lineRule="exact"/>
        <w:jc w:val="both"/>
        <w:rPr>
          <w:color w:val="000000"/>
        </w:rPr>
      </w:pPr>
    </w:p>
    <w:p w14:paraId="3F86D1D5" w14:textId="77777777" w:rsidR="00FC4E8D" w:rsidRPr="00022D22" w:rsidRDefault="00D238AB">
      <w:pPr>
        <w:pStyle w:val="ParagrapheIndent2"/>
        <w:spacing w:line="270" w:lineRule="exact"/>
        <w:jc w:val="both"/>
        <w:rPr>
          <w:color w:val="000000"/>
        </w:rPr>
      </w:pPr>
      <w:r w:rsidRPr="00022D22">
        <w:rPr>
          <w:color w:val="000000"/>
        </w:rPr>
        <w:t>La copie de sauvegarde peut être transmise ou déposée à l'adresse suivante :</w:t>
      </w:r>
    </w:p>
    <w:p w14:paraId="32901E8F" w14:textId="77777777" w:rsidR="00691F2C" w:rsidRPr="00022D22" w:rsidRDefault="00691F2C" w:rsidP="00691F2C"/>
    <w:p w14:paraId="3F86D1D6" w14:textId="77777777" w:rsidR="00FC4E8D" w:rsidRPr="00022D22" w:rsidRDefault="00D238AB">
      <w:pPr>
        <w:pStyle w:val="ParagrapheIndent2"/>
        <w:spacing w:line="270" w:lineRule="exact"/>
        <w:jc w:val="both"/>
        <w:rPr>
          <w:i/>
          <w:iCs/>
          <w:color w:val="000000"/>
        </w:rPr>
      </w:pPr>
      <w:r w:rsidRPr="00022D22">
        <w:rPr>
          <w:i/>
          <w:iCs/>
          <w:color w:val="000000"/>
        </w:rPr>
        <w:t>Mairie de Perpignan</w:t>
      </w:r>
    </w:p>
    <w:p w14:paraId="2069D8B4" w14:textId="0385E0F0" w:rsidR="00BD7F07" w:rsidRPr="00022D22" w:rsidRDefault="00BD7F07" w:rsidP="00BD7F07">
      <w:pPr>
        <w:pStyle w:val="ParagrapheIndent2"/>
        <w:spacing w:line="270" w:lineRule="exact"/>
        <w:jc w:val="both"/>
        <w:rPr>
          <w:i/>
          <w:iCs/>
          <w:color w:val="000000"/>
        </w:rPr>
      </w:pPr>
      <w:r w:rsidRPr="00022D22">
        <w:rPr>
          <w:i/>
          <w:iCs/>
          <w:color w:val="000000"/>
        </w:rPr>
        <w:t xml:space="preserve">Direction de la </w:t>
      </w:r>
      <w:r w:rsidR="001D77F1" w:rsidRPr="00022D22">
        <w:rPr>
          <w:i/>
          <w:iCs/>
          <w:color w:val="000000"/>
        </w:rPr>
        <w:t>C</w:t>
      </w:r>
      <w:r w:rsidRPr="00022D22">
        <w:rPr>
          <w:i/>
          <w:iCs/>
          <w:color w:val="000000"/>
        </w:rPr>
        <w:t>ommande Publique et des Achats</w:t>
      </w:r>
    </w:p>
    <w:p w14:paraId="3F86D1D7" w14:textId="0CD7320B" w:rsidR="00FC4E8D" w:rsidRPr="00022D22" w:rsidRDefault="00CD5787">
      <w:pPr>
        <w:pStyle w:val="ParagrapheIndent2"/>
        <w:spacing w:line="270" w:lineRule="exact"/>
        <w:jc w:val="both"/>
        <w:rPr>
          <w:i/>
          <w:iCs/>
          <w:color w:val="000000"/>
        </w:rPr>
      </w:pPr>
      <w:r w:rsidRPr="00022D22">
        <w:rPr>
          <w:i/>
          <w:iCs/>
          <w:color w:val="000000"/>
        </w:rPr>
        <w:t xml:space="preserve">Division des Marchés Publics </w:t>
      </w:r>
    </w:p>
    <w:p w14:paraId="3F86D1D8" w14:textId="3AA2F654" w:rsidR="00FC4E8D" w:rsidRPr="00022D22" w:rsidRDefault="007D08F2">
      <w:pPr>
        <w:pStyle w:val="ParagrapheIndent2"/>
        <w:spacing w:line="270" w:lineRule="exact"/>
        <w:jc w:val="both"/>
        <w:rPr>
          <w:i/>
          <w:iCs/>
          <w:color w:val="000000"/>
        </w:rPr>
      </w:pPr>
      <w:r w:rsidRPr="00022D22">
        <w:rPr>
          <w:i/>
          <w:iCs/>
          <w:color w:val="000000"/>
        </w:rPr>
        <w:t>Centre Technique M</w:t>
      </w:r>
      <w:r w:rsidR="0007785C" w:rsidRPr="00022D22">
        <w:rPr>
          <w:i/>
          <w:iCs/>
          <w:color w:val="000000"/>
        </w:rPr>
        <w:t xml:space="preserve">unicipal </w:t>
      </w:r>
    </w:p>
    <w:p w14:paraId="3F86D1D9" w14:textId="77777777" w:rsidR="00FC4E8D" w:rsidRPr="00022D22" w:rsidRDefault="00D238AB">
      <w:pPr>
        <w:pStyle w:val="ParagrapheIndent2"/>
        <w:spacing w:line="270" w:lineRule="exact"/>
        <w:jc w:val="both"/>
        <w:rPr>
          <w:i/>
          <w:iCs/>
          <w:color w:val="000000"/>
        </w:rPr>
      </w:pPr>
      <w:r w:rsidRPr="00022D22">
        <w:rPr>
          <w:i/>
          <w:iCs/>
          <w:color w:val="000000"/>
        </w:rPr>
        <w:t>BP 20931</w:t>
      </w:r>
    </w:p>
    <w:p w14:paraId="3F86D1DB" w14:textId="55EF2725" w:rsidR="00FC4E8D" w:rsidRPr="00022D22" w:rsidRDefault="00D238AB" w:rsidP="00DE51F4">
      <w:pPr>
        <w:pStyle w:val="ParagrapheIndent2"/>
        <w:spacing w:line="270" w:lineRule="exact"/>
        <w:jc w:val="both"/>
        <w:rPr>
          <w:i/>
          <w:iCs/>
          <w:color w:val="000000"/>
        </w:rPr>
      </w:pPr>
      <w:r w:rsidRPr="00022D22">
        <w:rPr>
          <w:i/>
          <w:iCs/>
          <w:color w:val="000000"/>
        </w:rPr>
        <w:t>66931 PERPIGNAN CEDEX</w:t>
      </w:r>
    </w:p>
    <w:p w14:paraId="4C9FD3FA" w14:textId="77777777" w:rsidR="00DE51F4" w:rsidRPr="00022D22" w:rsidRDefault="00DE51F4" w:rsidP="00DE51F4"/>
    <w:p w14:paraId="3F86D1DC" w14:textId="77777777" w:rsidR="00FC4E8D" w:rsidRPr="00022D22" w:rsidRDefault="00D238AB">
      <w:pPr>
        <w:pStyle w:val="ParagrapheIndent2"/>
        <w:spacing w:after="240" w:line="270" w:lineRule="exact"/>
        <w:jc w:val="both"/>
        <w:rPr>
          <w:color w:val="000000"/>
        </w:rPr>
      </w:pPr>
      <w:r w:rsidRPr="00022D22">
        <w:rPr>
          <w:color w:val="000000"/>
        </w:rPr>
        <w:t>Le format électronique dans lequel les documents peuvent être transmis est le suivant : format PDF.</w:t>
      </w:r>
    </w:p>
    <w:p w14:paraId="3F86D1DD" w14:textId="77777777" w:rsidR="00FC4E8D" w:rsidRPr="00022D22" w:rsidRDefault="00D238AB">
      <w:pPr>
        <w:pStyle w:val="ParagrapheIndent2"/>
        <w:spacing w:line="270" w:lineRule="exact"/>
        <w:jc w:val="both"/>
        <w:rPr>
          <w:color w:val="000000"/>
        </w:rPr>
      </w:pPr>
      <w:r w:rsidRPr="00022D22">
        <w:rPr>
          <w:color w:val="000000"/>
        </w:rPr>
        <w:t>Chaque document pour lequel une signature est requise doit faire l'objet d'une signature électronique au format XAdES, CAdES ou PAdES. La signature électronique du pli ne vaut pas signature des documents qu'il contient.</w:t>
      </w:r>
    </w:p>
    <w:p w14:paraId="3F86D1DE" w14:textId="77777777" w:rsidR="00FC4E8D" w:rsidRPr="00022D22" w:rsidRDefault="00FC4E8D">
      <w:pPr>
        <w:pStyle w:val="ParagrapheIndent2"/>
        <w:spacing w:line="270" w:lineRule="exact"/>
        <w:jc w:val="both"/>
        <w:rPr>
          <w:color w:val="000000"/>
        </w:rPr>
      </w:pPr>
    </w:p>
    <w:p w14:paraId="3F86D1DF" w14:textId="77777777" w:rsidR="00FC4E8D" w:rsidRPr="00022D22" w:rsidRDefault="00D238AB">
      <w:pPr>
        <w:pStyle w:val="ParagrapheIndent2"/>
        <w:spacing w:line="270" w:lineRule="exact"/>
        <w:jc w:val="both"/>
        <w:rPr>
          <w:color w:val="000000"/>
        </w:rPr>
      </w:pPr>
      <w:r w:rsidRPr="00022D22">
        <w:rPr>
          <w:color w:val="000000"/>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3F86D1E0" w14:textId="77777777" w:rsidR="00FC4E8D" w:rsidRPr="00022D22" w:rsidRDefault="00FC4E8D">
      <w:pPr>
        <w:pStyle w:val="ParagrapheIndent2"/>
        <w:spacing w:line="270" w:lineRule="exact"/>
        <w:jc w:val="both"/>
        <w:rPr>
          <w:color w:val="000000"/>
        </w:rPr>
      </w:pPr>
    </w:p>
    <w:p w14:paraId="3F86D1E1" w14:textId="77777777" w:rsidR="00FC4E8D" w:rsidRDefault="00D238AB">
      <w:pPr>
        <w:pStyle w:val="ParagrapheIndent2"/>
        <w:spacing w:line="270" w:lineRule="exact"/>
        <w:jc w:val="both"/>
        <w:rPr>
          <w:color w:val="000000"/>
        </w:rPr>
      </w:pPr>
      <w:r w:rsidRPr="00022D22">
        <w:rPr>
          <w:color w:val="000000"/>
        </w:rPr>
        <w:t>Le certificat de signature qualifié est délivré par un prestataire de service de confiance qualifié répondant aux exigences du règlement eIDAS. Une liste de prestataires est disponible sur le site de l'ANSSI (</w:t>
      </w:r>
      <w:hyperlink r:id="rId24" w:history="1">
        <w:r w:rsidR="00FC4E8D" w:rsidRPr="00022D22">
          <w:rPr>
            <w:color w:val="000000"/>
          </w:rPr>
          <w:t>https://cyber.gouv.fr/obtenir-un-certificat-de-signature-electronique</w:t>
        </w:r>
      </w:hyperlink>
      <w:r w:rsidRPr="00022D22">
        <w:rPr>
          <w:color w:val="000000"/>
        </w:rPr>
        <w:t>). Il peut aussi être délivré par une autorité de certification, française ou étrangère. Le candidat devra alors démontrer son équivalence au règlement eIDAS.</w:t>
      </w:r>
    </w:p>
    <w:p w14:paraId="6AA7A3DC" w14:textId="77777777" w:rsidR="00537328" w:rsidRDefault="00537328" w:rsidP="00537328"/>
    <w:p w14:paraId="69EFA2CA" w14:textId="77777777" w:rsidR="00537328" w:rsidRPr="00537328" w:rsidRDefault="00537328" w:rsidP="00537328"/>
    <w:p w14:paraId="3F86D1E2" w14:textId="77777777" w:rsidR="00FC4E8D" w:rsidRPr="00022D22" w:rsidRDefault="00FC4E8D">
      <w:pPr>
        <w:pStyle w:val="ParagrapheIndent2"/>
        <w:spacing w:line="270" w:lineRule="exact"/>
        <w:jc w:val="both"/>
        <w:rPr>
          <w:color w:val="000000"/>
        </w:rPr>
      </w:pPr>
    </w:p>
    <w:p w14:paraId="3F86D1E4" w14:textId="5263DAE5" w:rsidR="00FC4E8D" w:rsidRDefault="00D238AB" w:rsidP="00537328">
      <w:pPr>
        <w:pStyle w:val="ParagrapheIndent2"/>
        <w:spacing w:after="40" w:line="270" w:lineRule="exact"/>
        <w:jc w:val="both"/>
        <w:rPr>
          <w:color w:val="000000"/>
        </w:rPr>
      </w:pPr>
      <w:r w:rsidRPr="00022D22">
        <w:rPr>
          <w:color w:val="000000"/>
        </w:rPr>
        <w:lastRenderedPageBreak/>
        <w:t>Le candidat qui utilise un autre outil de signature que celui du profil d'acheteur, ou un certificat délivré par une autre autorité de certification, doit transmettre gratuitement le mode d'emploi permettant la vérification de la validité de la signature.</w:t>
      </w:r>
    </w:p>
    <w:p w14:paraId="2B0C8D9F" w14:textId="77777777" w:rsidR="00B00BA8" w:rsidRPr="00B00BA8" w:rsidRDefault="00B00BA8" w:rsidP="00B00BA8"/>
    <w:p w14:paraId="3F86D1E5" w14:textId="77777777" w:rsidR="00FC4E8D" w:rsidRDefault="00D238AB">
      <w:pPr>
        <w:pStyle w:val="ParagrapheIndent2"/>
        <w:spacing w:line="270" w:lineRule="exact"/>
        <w:jc w:val="both"/>
        <w:rPr>
          <w:color w:val="000000"/>
        </w:rPr>
      </w:pPr>
      <w:r w:rsidRPr="00022D22">
        <w:rPr>
          <w:b/>
          <w:color w:val="000000"/>
        </w:rPr>
        <w:t>La signature électronique du contrat par l'attributaire est exigée dans le cadre de cette consultation</w:t>
      </w:r>
      <w:r w:rsidRPr="00022D22">
        <w:rPr>
          <w:color w:val="000000"/>
        </w:rPr>
        <w:t>.</w:t>
      </w:r>
    </w:p>
    <w:p w14:paraId="27EE2F1C" w14:textId="77777777" w:rsidR="00B00BA8" w:rsidRPr="00B00BA8" w:rsidRDefault="00B00BA8" w:rsidP="00B00BA8"/>
    <w:p w14:paraId="3F86D1E6" w14:textId="77777777" w:rsidR="00FC4E8D" w:rsidRPr="00022D22" w:rsidRDefault="00D238AB">
      <w:pPr>
        <w:pStyle w:val="ParagrapheIndent2"/>
        <w:spacing w:after="240" w:line="270" w:lineRule="exact"/>
        <w:jc w:val="both"/>
        <w:rPr>
          <w:color w:val="000000"/>
        </w:rPr>
      </w:pPr>
      <w:r w:rsidRPr="00022D22">
        <w:rPr>
          <w:color w:val="000000"/>
        </w:rPr>
        <w:t>Le pouvoir adjudicateur n’impose pas la signature électronique au stade du dépôt des plis. Cependant, les candidats qui souhaitent signer les plis dès le dépôt des offres sont invités à suivre le lien https://www.marches-publics.info/pratique-signature.htm.</w:t>
      </w:r>
    </w:p>
    <w:p w14:paraId="3F86D1E7" w14:textId="56318AAF" w:rsidR="00FC4E8D" w:rsidRPr="00022D22" w:rsidRDefault="00D238AB">
      <w:pPr>
        <w:pStyle w:val="ParagrapheIndent2"/>
        <w:spacing w:after="240" w:line="270" w:lineRule="exact"/>
        <w:jc w:val="both"/>
        <w:rPr>
          <w:color w:val="000000"/>
        </w:rPr>
      </w:pPr>
      <w:r w:rsidRPr="00022D22">
        <w:rPr>
          <w:color w:val="000000"/>
        </w:rPr>
        <w:t xml:space="preserve">Pour signer électroniquement, le candidat peut utiliser l'un des trois formats de signature autorisés par la réglementation (XAdES, CAdES ou PAdES). Le pouvoir adjudicateur préconise toutefois l'utilisation d'une signature électronique au format </w:t>
      </w:r>
      <w:r w:rsidR="00CD5787" w:rsidRPr="00022D22">
        <w:rPr>
          <w:color w:val="000000"/>
        </w:rPr>
        <w:t>P</w:t>
      </w:r>
      <w:r w:rsidRPr="00022D22">
        <w:rPr>
          <w:color w:val="000000"/>
        </w:rPr>
        <w:t>AdES.</w:t>
      </w:r>
    </w:p>
    <w:p w14:paraId="3F86D1E8" w14:textId="77777777" w:rsidR="00FC4E8D" w:rsidRPr="00022D22" w:rsidRDefault="00D238AB">
      <w:pPr>
        <w:pStyle w:val="ParagrapheIndent2"/>
        <w:spacing w:after="240" w:line="270" w:lineRule="exact"/>
        <w:jc w:val="both"/>
        <w:rPr>
          <w:color w:val="000000"/>
        </w:rPr>
      </w:pPr>
      <w:r w:rsidRPr="00022D22">
        <w:rPr>
          <w:color w:val="000000"/>
        </w:rPr>
        <w:t>Les frais d'accès au réseau et de recours à la signature électronique sont à la charge des candidats.</w:t>
      </w:r>
    </w:p>
    <w:p w14:paraId="3F86D1E9" w14:textId="77777777" w:rsidR="00FC4E8D" w:rsidRPr="00022D22" w:rsidRDefault="00D238AB">
      <w:pPr>
        <w:pStyle w:val="ParagrapheIndent2"/>
        <w:spacing w:line="270" w:lineRule="exact"/>
        <w:jc w:val="both"/>
        <w:rPr>
          <w:color w:val="000000"/>
        </w:rPr>
      </w:pPr>
      <w:r w:rsidRPr="00022D22">
        <w:rPr>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3F86D1EA" w14:textId="77777777" w:rsidR="00FC4E8D" w:rsidRPr="00022D22" w:rsidRDefault="00FC4E8D">
      <w:pPr>
        <w:pStyle w:val="ParagrapheIndent2"/>
        <w:spacing w:line="270" w:lineRule="exact"/>
        <w:jc w:val="both"/>
        <w:rPr>
          <w:color w:val="000000"/>
        </w:rPr>
      </w:pPr>
    </w:p>
    <w:p w14:paraId="3F86D1EB" w14:textId="77777777" w:rsidR="00FC4E8D" w:rsidRPr="00022D22" w:rsidRDefault="00D238AB">
      <w:pPr>
        <w:pStyle w:val="ParagrapheIndent2"/>
        <w:spacing w:line="270" w:lineRule="exact"/>
        <w:jc w:val="both"/>
        <w:rPr>
          <w:color w:val="000000"/>
        </w:rPr>
      </w:pPr>
      <w:r w:rsidRPr="00022D22">
        <w:rPr>
          <w:color w:val="00000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F86D1EC" w14:textId="77777777" w:rsidR="00FC4E8D" w:rsidRPr="00022D22" w:rsidRDefault="00FC4E8D">
      <w:pPr>
        <w:pStyle w:val="ParagrapheIndent2"/>
        <w:spacing w:line="270" w:lineRule="exact"/>
        <w:jc w:val="both"/>
        <w:rPr>
          <w:color w:val="000000"/>
        </w:rPr>
      </w:pPr>
    </w:p>
    <w:p w14:paraId="3F86D1ED" w14:textId="77777777" w:rsidR="00FC4E8D" w:rsidRPr="00022D22" w:rsidRDefault="00D238AB">
      <w:pPr>
        <w:pStyle w:val="ParagrapheIndent2"/>
        <w:spacing w:line="270" w:lineRule="exact"/>
        <w:jc w:val="both"/>
        <w:rPr>
          <w:color w:val="000000"/>
        </w:rPr>
      </w:pPr>
      <w:r w:rsidRPr="00022D22">
        <w:rPr>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3F86D1EE" w14:textId="77777777" w:rsidR="00FC4E8D" w:rsidRPr="00022D22" w:rsidRDefault="00FC4E8D">
      <w:pPr>
        <w:pStyle w:val="ParagrapheIndent2"/>
        <w:spacing w:line="270" w:lineRule="exact"/>
        <w:jc w:val="both"/>
        <w:rPr>
          <w:color w:val="000000"/>
        </w:rPr>
      </w:pPr>
    </w:p>
    <w:p w14:paraId="3F86D1EF" w14:textId="77777777" w:rsidR="00FC4E8D" w:rsidRPr="00022D22" w:rsidRDefault="00D238AB">
      <w:pPr>
        <w:pStyle w:val="ParagrapheIndent2"/>
        <w:spacing w:line="270" w:lineRule="exact"/>
        <w:jc w:val="both"/>
        <w:rPr>
          <w:color w:val="000000"/>
        </w:rPr>
      </w:pPr>
      <w:r w:rsidRPr="00022D22">
        <w:rPr>
          <w:color w:val="000000"/>
        </w:rPr>
        <w:t>L'ensemble de ces services est fourni gratuitement au candidat.</w:t>
      </w:r>
    </w:p>
    <w:p w14:paraId="3F86D1F0" w14:textId="77777777" w:rsidR="00FC4E8D" w:rsidRPr="00022D22" w:rsidRDefault="00FC4E8D">
      <w:pPr>
        <w:pStyle w:val="ParagrapheIndent2"/>
        <w:spacing w:line="270" w:lineRule="exact"/>
        <w:jc w:val="both"/>
        <w:rPr>
          <w:color w:val="000000"/>
        </w:rPr>
      </w:pPr>
    </w:p>
    <w:p w14:paraId="4492F8A5" w14:textId="141B1774" w:rsidR="00B00BA8" w:rsidRPr="00B00BA8" w:rsidRDefault="00D238AB" w:rsidP="00B00BA8">
      <w:pPr>
        <w:pStyle w:val="ParagrapheIndent2"/>
        <w:spacing w:after="240" w:line="270" w:lineRule="exact"/>
        <w:jc w:val="both"/>
        <w:rPr>
          <w:b/>
          <w:color w:val="000000"/>
          <w:u w:val="single"/>
        </w:rPr>
      </w:pPr>
      <w:r w:rsidRPr="00022D22">
        <w:rPr>
          <w:b/>
          <w:color w:val="000000"/>
          <w:u w:val="single"/>
        </w:rPr>
        <w:t xml:space="preserve">Attention, la date et l'heure limites de dépôt s'entendent de manière stricte : </w:t>
      </w:r>
      <w:r w:rsidR="0094388D">
        <w:rPr>
          <w:b/>
          <w:color w:val="000000"/>
          <w:u w:val="single"/>
        </w:rPr>
        <w:t>2</w:t>
      </w:r>
      <w:r w:rsidR="006771AA">
        <w:rPr>
          <w:b/>
          <w:color w:val="000000"/>
          <w:u w:val="single"/>
        </w:rPr>
        <w:t>0</w:t>
      </w:r>
      <w:r w:rsidRPr="00022D22">
        <w:rPr>
          <w:b/>
          <w:color w:val="000000"/>
          <w:u w:val="single"/>
        </w:rPr>
        <w:t>/11/2026 1</w:t>
      </w:r>
      <w:r w:rsidR="00B00BA8">
        <w:rPr>
          <w:b/>
          <w:color w:val="000000"/>
          <w:u w:val="single"/>
        </w:rPr>
        <w:t>2 :00</w:t>
      </w:r>
    </w:p>
    <w:tbl>
      <w:tblPr>
        <w:tblW w:w="0" w:type="auto"/>
        <w:tblInd w:w="500" w:type="dxa"/>
        <w:tblLayout w:type="fixed"/>
        <w:tblLook w:val="04A0" w:firstRow="1" w:lastRow="0" w:firstColumn="1" w:lastColumn="0" w:noHBand="0" w:noVBand="1"/>
      </w:tblPr>
      <w:tblGrid>
        <w:gridCol w:w="8600"/>
      </w:tblGrid>
      <w:tr w:rsidR="00FC4E8D" w:rsidRPr="00022D22" w14:paraId="3F86D1FF"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FC4E8D" w:rsidRPr="00022D22" w14:paraId="3F86D1F5" w14:textId="77777777">
              <w:trPr>
                <w:trHeight w:val="40"/>
              </w:trPr>
              <w:tc>
                <w:tcPr>
                  <w:tcW w:w="400" w:type="dxa"/>
                  <w:tcMar>
                    <w:top w:w="0" w:type="dxa"/>
                    <w:left w:w="0" w:type="dxa"/>
                    <w:bottom w:w="0" w:type="dxa"/>
                    <w:right w:w="0" w:type="dxa"/>
                  </w:tcMar>
                </w:tcPr>
                <w:p w14:paraId="3F86D1F2" w14:textId="77777777" w:rsidR="00FC4E8D" w:rsidRPr="00022D22" w:rsidRDefault="00FC4E8D">
                  <w:pPr>
                    <w:rPr>
                      <w:sz w:val="2"/>
                    </w:rPr>
                  </w:pPr>
                </w:p>
              </w:tc>
              <w:tc>
                <w:tcPr>
                  <w:tcW w:w="300" w:type="dxa"/>
                  <w:tcMar>
                    <w:top w:w="0" w:type="dxa"/>
                    <w:left w:w="0" w:type="dxa"/>
                    <w:bottom w:w="0" w:type="dxa"/>
                    <w:right w:w="0" w:type="dxa"/>
                  </w:tcMar>
                </w:tcPr>
                <w:p w14:paraId="3F86D1F3" w14:textId="77777777" w:rsidR="00FC4E8D" w:rsidRPr="00022D22" w:rsidRDefault="00FC4E8D">
                  <w:pPr>
                    <w:rPr>
                      <w:sz w:val="2"/>
                    </w:rPr>
                  </w:pPr>
                </w:p>
              </w:tc>
              <w:tc>
                <w:tcPr>
                  <w:tcW w:w="7300" w:type="dxa"/>
                  <w:vMerge w:val="restart"/>
                  <w:tcMar>
                    <w:top w:w="0" w:type="dxa"/>
                    <w:left w:w="0" w:type="dxa"/>
                    <w:bottom w:w="0" w:type="dxa"/>
                    <w:right w:w="0" w:type="dxa"/>
                  </w:tcMar>
                  <w:vAlign w:val="center"/>
                </w:tcPr>
                <w:p w14:paraId="3F86D1F4" w14:textId="77777777" w:rsidR="00FC4E8D" w:rsidRPr="00022D22" w:rsidRDefault="00D238AB">
                  <w:pPr>
                    <w:jc w:val="both"/>
                    <w:rPr>
                      <w:rFonts w:ascii="Century Gothic" w:eastAsia="Century Gothic" w:hAnsi="Century Gothic" w:cs="Century Gothic"/>
                      <w:b/>
                      <w:color w:val="000000"/>
                      <w:sz w:val="22"/>
                    </w:rPr>
                  </w:pPr>
                  <w:r w:rsidRPr="00022D22">
                    <w:rPr>
                      <w:rFonts w:ascii="Century Gothic" w:eastAsia="Century Gothic" w:hAnsi="Century Gothic" w:cs="Century Gothic"/>
                      <w:b/>
                      <w:color w:val="000000"/>
                      <w:sz w:val="22"/>
                    </w:rPr>
                    <w:t>Pensez à anticiper votre dépôt 48 heures avant l'heure limite</w:t>
                  </w:r>
                </w:p>
              </w:tc>
            </w:tr>
            <w:tr w:rsidR="00FC4E8D" w:rsidRPr="00022D22" w14:paraId="3F86D1F9" w14:textId="77777777">
              <w:trPr>
                <w:trHeight w:val="385"/>
              </w:trPr>
              <w:tc>
                <w:tcPr>
                  <w:tcW w:w="400" w:type="dxa"/>
                  <w:tcMar>
                    <w:top w:w="0" w:type="dxa"/>
                    <w:left w:w="0" w:type="dxa"/>
                    <w:bottom w:w="0" w:type="dxa"/>
                    <w:right w:w="0" w:type="dxa"/>
                  </w:tcMar>
                </w:tcPr>
                <w:p w14:paraId="3F86D1F6" w14:textId="77777777" w:rsidR="00FC4E8D" w:rsidRPr="00022D22" w:rsidRDefault="001C0864">
                  <w:pPr>
                    <w:rPr>
                      <w:sz w:val="2"/>
                    </w:rPr>
                  </w:pPr>
                  <w:r>
                    <w:pict w14:anchorId="3F86D26E">
                      <v:shape id="_x0000_i1038" type="#_x0000_t75" style="width:20.25pt;height:20.25pt">
                        <v:imagedata r:id="rId25" o:title=""/>
                      </v:shape>
                    </w:pict>
                  </w:r>
                </w:p>
              </w:tc>
              <w:tc>
                <w:tcPr>
                  <w:tcW w:w="300" w:type="dxa"/>
                  <w:tcMar>
                    <w:top w:w="0" w:type="dxa"/>
                    <w:left w:w="0" w:type="dxa"/>
                    <w:bottom w:w="0" w:type="dxa"/>
                    <w:right w:w="0" w:type="dxa"/>
                  </w:tcMar>
                </w:tcPr>
                <w:p w14:paraId="3F86D1F7" w14:textId="77777777" w:rsidR="00FC4E8D" w:rsidRPr="00022D22" w:rsidRDefault="00FC4E8D">
                  <w:pPr>
                    <w:rPr>
                      <w:sz w:val="2"/>
                    </w:rPr>
                  </w:pPr>
                </w:p>
              </w:tc>
              <w:tc>
                <w:tcPr>
                  <w:tcW w:w="7300" w:type="dxa"/>
                  <w:vMerge/>
                  <w:tcMar>
                    <w:top w:w="0" w:type="dxa"/>
                    <w:left w:w="0" w:type="dxa"/>
                    <w:bottom w:w="0" w:type="dxa"/>
                    <w:right w:w="0" w:type="dxa"/>
                  </w:tcMar>
                </w:tcPr>
                <w:p w14:paraId="3F86D1F8" w14:textId="77777777" w:rsidR="00FC4E8D" w:rsidRPr="00022D22" w:rsidRDefault="00FC4E8D"/>
              </w:tc>
            </w:tr>
            <w:tr w:rsidR="00FC4E8D" w:rsidRPr="00022D22" w14:paraId="3F86D1FD" w14:textId="77777777">
              <w:trPr>
                <w:trHeight w:val="45"/>
              </w:trPr>
              <w:tc>
                <w:tcPr>
                  <w:tcW w:w="400" w:type="dxa"/>
                  <w:tcMar>
                    <w:top w:w="0" w:type="dxa"/>
                    <w:left w:w="0" w:type="dxa"/>
                    <w:bottom w:w="0" w:type="dxa"/>
                    <w:right w:w="0" w:type="dxa"/>
                  </w:tcMar>
                </w:tcPr>
                <w:p w14:paraId="3F86D1FA" w14:textId="77777777" w:rsidR="00FC4E8D" w:rsidRPr="00022D22" w:rsidRDefault="00FC4E8D">
                  <w:pPr>
                    <w:rPr>
                      <w:sz w:val="2"/>
                    </w:rPr>
                  </w:pPr>
                </w:p>
              </w:tc>
              <w:tc>
                <w:tcPr>
                  <w:tcW w:w="300" w:type="dxa"/>
                  <w:tcMar>
                    <w:top w:w="0" w:type="dxa"/>
                    <w:left w:w="0" w:type="dxa"/>
                    <w:bottom w:w="0" w:type="dxa"/>
                    <w:right w:w="0" w:type="dxa"/>
                  </w:tcMar>
                </w:tcPr>
                <w:p w14:paraId="3F86D1FB" w14:textId="77777777" w:rsidR="00FC4E8D" w:rsidRPr="00022D22" w:rsidRDefault="00FC4E8D">
                  <w:pPr>
                    <w:rPr>
                      <w:sz w:val="2"/>
                    </w:rPr>
                  </w:pPr>
                </w:p>
              </w:tc>
              <w:tc>
                <w:tcPr>
                  <w:tcW w:w="7300" w:type="dxa"/>
                  <w:vMerge/>
                  <w:tcMar>
                    <w:top w:w="0" w:type="dxa"/>
                    <w:left w:w="0" w:type="dxa"/>
                    <w:bottom w:w="0" w:type="dxa"/>
                    <w:right w:w="0" w:type="dxa"/>
                  </w:tcMar>
                </w:tcPr>
                <w:p w14:paraId="3F86D1FC" w14:textId="77777777" w:rsidR="00FC4E8D" w:rsidRPr="00022D22" w:rsidRDefault="00FC4E8D"/>
              </w:tc>
            </w:tr>
          </w:tbl>
          <w:p w14:paraId="3F86D1FE" w14:textId="77777777" w:rsidR="00FC4E8D" w:rsidRPr="00022D22" w:rsidRDefault="00FC4E8D">
            <w:pPr>
              <w:rPr>
                <w:sz w:val="2"/>
              </w:rPr>
            </w:pPr>
          </w:p>
        </w:tc>
      </w:tr>
    </w:tbl>
    <w:p w14:paraId="3F86D200" w14:textId="77777777" w:rsidR="00FC4E8D" w:rsidRPr="00022D22" w:rsidRDefault="00D238AB">
      <w:pPr>
        <w:spacing w:line="240" w:lineRule="exact"/>
      </w:pPr>
      <w:r w:rsidRPr="00022D22">
        <w:t xml:space="preserve"> </w:t>
      </w:r>
    </w:p>
    <w:p w14:paraId="3F86D201"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47" w:name="ArtL2_RC-2-A8.5"/>
      <w:bookmarkStart w:id="48" w:name="_Toc242256520"/>
      <w:bookmarkEnd w:id="47"/>
      <w:r w:rsidRPr="00022D22">
        <w:rPr>
          <w:rFonts w:ascii="Century Gothic" w:eastAsia="Century Gothic" w:hAnsi="Century Gothic" w:cs="Century Gothic"/>
          <w:i w:val="0"/>
          <w:color w:val="000000"/>
          <w:sz w:val="24"/>
        </w:rPr>
        <w:t>7.2 - Transmission sous support papier</w:t>
      </w:r>
      <w:bookmarkEnd w:id="48"/>
    </w:p>
    <w:p w14:paraId="3093A539" w14:textId="77777777" w:rsidR="00FC6CF9" w:rsidRPr="00022D22" w:rsidRDefault="00D238AB">
      <w:pPr>
        <w:pStyle w:val="ParagrapheIndent2"/>
        <w:spacing w:line="270" w:lineRule="exact"/>
        <w:jc w:val="both"/>
        <w:rPr>
          <w:color w:val="000000"/>
        </w:rPr>
      </w:pPr>
      <w:r w:rsidRPr="00022D22">
        <w:rPr>
          <w:color w:val="000000"/>
        </w:rPr>
        <w:t>La transmission des plis par voie électronique est imposée pour cette consultation. Par conséquent, la transmission par voie papier n'est pas autorisée.</w:t>
      </w:r>
    </w:p>
    <w:p w14:paraId="3F86D202" w14:textId="69EC7D66" w:rsidR="00FC4E8D" w:rsidRPr="00022D22" w:rsidRDefault="00D238AB">
      <w:pPr>
        <w:pStyle w:val="ParagrapheIndent2"/>
        <w:spacing w:line="270" w:lineRule="exact"/>
        <w:jc w:val="both"/>
        <w:rPr>
          <w:color w:val="000000"/>
        </w:rPr>
        <w:sectPr w:rsidR="00FC4E8D" w:rsidRPr="00022D22">
          <w:footerReference w:type="default" r:id="rId26"/>
          <w:pgSz w:w="11900" w:h="16840"/>
          <w:pgMar w:top="1140" w:right="1140" w:bottom="580" w:left="1140" w:header="1140" w:footer="580" w:gutter="0"/>
          <w:cols w:space="708"/>
        </w:sectPr>
      </w:pPr>
      <w:r w:rsidRPr="00022D22">
        <w:rPr>
          <w:color w:val="000000"/>
        </w:rPr>
        <w:cr/>
      </w:r>
    </w:p>
    <w:p w14:paraId="3F86D203"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49" w:name="ArtL1_RC-2-A10"/>
      <w:bookmarkStart w:id="50" w:name="_Toc242256521"/>
      <w:bookmarkEnd w:id="49"/>
      <w:r w:rsidRPr="00022D22">
        <w:rPr>
          <w:rFonts w:ascii="Century Gothic" w:eastAsia="Century Gothic" w:hAnsi="Century Gothic" w:cs="Century Gothic"/>
          <w:color w:val="FFFFFF"/>
          <w:sz w:val="28"/>
        </w:rPr>
        <w:lastRenderedPageBreak/>
        <w:t>8 - Examen des candidatures et des offres</w:t>
      </w:r>
      <w:bookmarkEnd w:id="50"/>
    </w:p>
    <w:p w14:paraId="3F86D204" w14:textId="77777777" w:rsidR="00FC4E8D" w:rsidRPr="00022D22" w:rsidRDefault="00D238AB">
      <w:pPr>
        <w:spacing w:line="60" w:lineRule="exact"/>
        <w:rPr>
          <w:sz w:val="6"/>
        </w:rPr>
      </w:pPr>
      <w:r w:rsidRPr="00022D22">
        <w:t xml:space="preserve"> </w:t>
      </w:r>
    </w:p>
    <w:p w14:paraId="3F86D205"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51" w:name="ArtL2_RC-2-A10.1"/>
      <w:bookmarkStart w:id="52" w:name="_Toc242256522"/>
      <w:bookmarkEnd w:id="51"/>
      <w:r w:rsidRPr="00022D22">
        <w:rPr>
          <w:rFonts w:ascii="Century Gothic" w:eastAsia="Century Gothic" w:hAnsi="Century Gothic" w:cs="Century Gothic"/>
          <w:i w:val="0"/>
          <w:color w:val="000000"/>
          <w:sz w:val="24"/>
        </w:rPr>
        <w:t>8.1 - Sélection des candidatures</w:t>
      </w:r>
      <w:bookmarkEnd w:id="52"/>
    </w:p>
    <w:p w14:paraId="3F86D206" w14:textId="77777777" w:rsidR="00FC4E8D" w:rsidRPr="00022D22" w:rsidRDefault="00D238AB">
      <w:pPr>
        <w:pStyle w:val="ParagrapheIndent2"/>
        <w:spacing w:line="270" w:lineRule="exact"/>
        <w:jc w:val="both"/>
        <w:rPr>
          <w:color w:val="000000"/>
        </w:rPr>
      </w:pPr>
      <w:r w:rsidRPr="00022D22">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F86D207" w14:textId="77777777" w:rsidR="00FC4E8D" w:rsidRPr="00022D22" w:rsidRDefault="00FC4E8D">
      <w:pPr>
        <w:pStyle w:val="ParagrapheIndent2"/>
        <w:spacing w:line="270" w:lineRule="exact"/>
        <w:jc w:val="both"/>
        <w:rPr>
          <w:color w:val="000000"/>
        </w:rPr>
      </w:pPr>
    </w:p>
    <w:p w14:paraId="3F86D209" w14:textId="67BE4718" w:rsidR="00FC4E8D" w:rsidRDefault="00D238AB" w:rsidP="00537328">
      <w:pPr>
        <w:pStyle w:val="ParagrapheIndent2"/>
        <w:spacing w:line="270" w:lineRule="exact"/>
        <w:jc w:val="both"/>
        <w:rPr>
          <w:color w:val="000000"/>
        </w:rPr>
      </w:pPr>
      <w:r w:rsidRPr="00022D22">
        <w:rPr>
          <w:color w:val="000000"/>
        </w:rPr>
        <w:t>Le pouvoir adjudicateur se réserve la possibilité de procéder à une régularisation des candidatures.</w:t>
      </w:r>
    </w:p>
    <w:p w14:paraId="4E5049A4" w14:textId="77777777" w:rsidR="00537328" w:rsidRPr="00537328" w:rsidRDefault="00537328" w:rsidP="00537328"/>
    <w:p w14:paraId="3F86D20A"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53" w:name="ArtL2_RC-2-A10.3"/>
      <w:bookmarkStart w:id="54" w:name="_Toc242256523"/>
      <w:bookmarkEnd w:id="53"/>
      <w:r w:rsidRPr="00022D22">
        <w:rPr>
          <w:rFonts w:ascii="Century Gothic" w:eastAsia="Century Gothic" w:hAnsi="Century Gothic" w:cs="Century Gothic"/>
          <w:i w:val="0"/>
          <w:color w:val="000000"/>
          <w:sz w:val="24"/>
        </w:rPr>
        <w:t>8.2 - Attribution des accords-cadres</w:t>
      </w:r>
      <w:bookmarkEnd w:id="54"/>
    </w:p>
    <w:p w14:paraId="3F86D20B" w14:textId="6AE61610" w:rsidR="00FC4E8D" w:rsidRPr="00022D22" w:rsidRDefault="00D238AB">
      <w:pPr>
        <w:pStyle w:val="ParagrapheIndent2"/>
        <w:spacing w:after="240" w:line="270" w:lineRule="exact"/>
        <w:jc w:val="both"/>
        <w:rPr>
          <w:color w:val="000000"/>
        </w:rPr>
      </w:pPr>
      <w:r w:rsidRPr="00022D22">
        <w:rPr>
          <w:color w:val="000000"/>
        </w:rPr>
        <w:t xml:space="preserve">Le jugement des offres sera effectué dans les conditions prévues aux articles L.2152-1 à L.2152-4, R. 2152-1 et R. 2152-2 du Code de la </w:t>
      </w:r>
      <w:r w:rsidR="00CD5787" w:rsidRPr="00022D22">
        <w:rPr>
          <w:color w:val="000000"/>
        </w:rPr>
        <w:t>C</w:t>
      </w:r>
      <w:r w:rsidRPr="00022D22">
        <w:rPr>
          <w:color w:val="000000"/>
        </w:rPr>
        <w:t xml:space="preserve">ommande </w:t>
      </w:r>
      <w:r w:rsidR="00CD5787" w:rsidRPr="00022D22">
        <w:rPr>
          <w:color w:val="000000"/>
        </w:rPr>
        <w:t>P</w:t>
      </w:r>
      <w:r w:rsidRPr="00022D22">
        <w:rPr>
          <w:color w:val="000000"/>
        </w:rPr>
        <w:t>ublique et donnera lieu à un classement des offres.</w:t>
      </w:r>
    </w:p>
    <w:p w14:paraId="3F86D20C" w14:textId="77777777" w:rsidR="00FC4E8D" w:rsidRPr="00022D22" w:rsidRDefault="00D238AB">
      <w:pPr>
        <w:pStyle w:val="ParagrapheIndent2"/>
        <w:spacing w:line="270" w:lineRule="exact"/>
        <w:jc w:val="both"/>
        <w:rPr>
          <w:color w:val="000000"/>
        </w:rPr>
      </w:pPr>
      <w:r w:rsidRPr="00022D22">
        <w:rPr>
          <w:color w:val="000000"/>
        </w:rPr>
        <w:t>Les critères retenus pour le jugement des offres sont pondérés de la manière suivante :</w:t>
      </w:r>
    </w:p>
    <w:p w14:paraId="3F86D20D" w14:textId="77777777" w:rsidR="00FC4E8D" w:rsidRPr="00022D22" w:rsidRDefault="00FC4E8D">
      <w:pPr>
        <w:pStyle w:val="ParagrapheIndent2"/>
        <w:spacing w:line="270" w:lineRule="exact"/>
        <w:jc w:val="both"/>
        <w:rPr>
          <w:color w:val="000000"/>
        </w:rPr>
      </w:pPr>
    </w:p>
    <w:tbl>
      <w:tblPr>
        <w:tblW w:w="0" w:type="auto"/>
        <w:tblLayout w:type="fixed"/>
        <w:tblLook w:val="04A0" w:firstRow="1" w:lastRow="0" w:firstColumn="1" w:lastColumn="0" w:noHBand="0" w:noVBand="1"/>
      </w:tblPr>
      <w:tblGrid>
        <w:gridCol w:w="7800"/>
        <w:gridCol w:w="1800"/>
      </w:tblGrid>
      <w:tr w:rsidR="00FC4E8D" w:rsidRPr="00022D22" w14:paraId="3F86D21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20E" w14:textId="77777777" w:rsidR="00FC4E8D" w:rsidRPr="00022D22" w:rsidRDefault="00D238AB">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6D20F" w14:textId="6853DEA7" w:rsidR="00FC4E8D" w:rsidRPr="00022D22" w:rsidRDefault="00207B19">
            <w:pPr>
              <w:spacing w:before="20"/>
              <w:jc w:val="center"/>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Base de notation</w:t>
            </w:r>
          </w:p>
        </w:tc>
      </w:tr>
      <w:tr w:rsidR="00FC4E8D" w:rsidRPr="00022D22" w14:paraId="3F86D213"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1" w14:textId="007729FF"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1-Prix des prestations</w:t>
            </w:r>
            <w:r w:rsidR="00CD5787" w:rsidRPr="00022D22">
              <w:rPr>
                <w:rFonts w:ascii="Century Gothic" w:eastAsia="Century Gothic" w:hAnsi="Century Gothic" w:cs="Century Gothic"/>
                <w:color w:val="000000"/>
                <w:sz w:val="22"/>
              </w:rPr>
              <w:t xml:space="preserve"> </w:t>
            </w:r>
            <w:r w:rsidRPr="00022D22">
              <w:rPr>
                <w:rFonts w:ascii="Century Gothic" w:eastAsia="Century Gothic" w:hAnsi="Century Gothic" w:cs="Century Gothic"/>
                <w:color w:val="000000"/>
                <w:sz w:val="22"/>
              </w:rPr>
              <w:t>-</w:t>
            </w:r>
            <w:r w:rsidR="00CD5787" w:rsidRPr="00022D22">
              <w:rPr>
                <w:rFonts w:ascii="Century Gothic" w:eastAsia="Century Gothic" w:hAnsi="Century Gothic" w:cs="Century Gothic"/>
                <w:color w:val="000000"/>
                <w:sz w:val="22"/>
              </w:rPr>
              <w:t xml:space="preserve"> </w:t>
            </w:r>
            <w:r w:rsidRPr="00022D22">
              <w:rPr>
                <w:rFonts w:ascii="Century Gothic" w:eastAsia="Century Gothic" w:hAnsi="Century Gothic" w:cs="Century Gothic"/>
                <w:color w:val="000000"/>
                <w:sz w:val="22"/>
              </w:rPr>
              <w:t xml:space="preserve">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2" w14:textId="79FAC784" w:rsidR="00FC4E8D" w:rsidRPr="00022D22" w:rsidRDefault="00EB118F">
            <w:pPr>
              <w:spacing w:before="60" w:after="2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6</w:t>
            </w:r>
            <w:r w:rsidR="00D238AB" w:rsidRPr="00022D22">
              <w:rPr>
                <w:rFonts w:ascii="Century Gothic" w:eastAsia="Century Gothic" w:hAnsi="Century Gothic" w:cs="Century Gothic"/>
                <w:color w:val="000000"/>
                <w:sz w:val="22"/>
              </w:rPr>
              <w:t>0</w:t>
            </w:r>
            <w:r w:rsidR="00207B19" w:rsidRPr="00022D22">
              <w:rPr>
                <w:rFonts w:ascii="Century Gothic" w:eastAsia="Century Gothic" w:hAnsi="Century Gothic" w:cs="Century Gothic"/>
                <w:color w:val="000000"/>
                <w:sz w:val="22"/>
              </w:rPr>
              <w:t xml:space="preserve"> points </w:t>
            </w:r>
          </w:p>
        </w:tc>
      </w:tr>
      <w:tr w:rsidR="00FC4E8D" w:rsidRPr="00022D22" w14:paraId="3F86D216"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4" w14:textId="755D8179" w:rsidR="00FC4E8D" w:rsidRPr="00022D22" w:rsidRDefault="00D238AB">
            <w:pPr>
              <w:spacing w:line="270" w:lineRule="exact"/>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2-Valeur technique</w:t>
            </w:r>
            <w:r w:rsidR="00CD5787" w:rsidRPr="00022D22">
              <w:rPr>
                <w:rFonts w:ascii="Century Gothic" w:eastAsia="Century Gothic" w:hAnsi="Century Gothic" w:cs="Century Gothic"/>
                <w:color w:val="000000"/>
                <w:sz w:val="22"/>
              </w:rPr>
              <w:t xml:space="preserve"> appréciée au regard du cadre de mémoire</w:t>
            </w:r>
            <w:r w:rsidRPr="00022D22">
              <w:rPr>
                <w:rFonts w:ascii="Century Gothic" w:eastAsia="Century Gothic" w:hAnsi="Century Gothic" w:cs="Century Gothic"/>
                <w:color w:val="000000"/>
                <w:sz w:val="22"/>
              </w:rPr>
              <w:t xml:space="preserv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5" w14:textId="389C2A59" w:rsidR="00FC4E8D" w:rsidRPr="00022D22" w:rsidRDefault="00EB118F">
            <w:pPr>
              <w:spacing w:before="60" w:after="2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3</w:t>
            </w:r>
            <w:r w:rsidR="00D238AB" w:rsidRPr="00022D22">
              <w:rPr>
                <w:rFonts w:ascii="Century Gothic" w:eastAsia="Century Gothic" w:hAnsi="Century Gothic" w:cs="Century Gothic"/>
                <w:color w:val="000000"/>
                <w:sz w:val="22"/>
              </w:rPr>
              <w:t>0</w:t>
            </w:r>
            <w:r w:rsidR="00207B19" w:rsidRPr="00022D22">
              <w:rPr>
                <w:rFonts w:ascii="Century Gothic" w:eastAsia="Century Gothic" w:hAnsi="Century Gothic" w:cs="Century Gothic"/>
                <w:color w:val="000000"/>
                <w:sz w:val="22"/>
              </w:rPr>
              <w:t xml:space="preserve"> points</w:t>
            </w:r>
          </w:p>
        </w:tc>
      </w:tr>
      <w:tr w:rsidR="00FC4E8D" w:rsidRPr="00022D22" w14:paraId="3F86D21C"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A" w14:textId="2C467BEC" w:rsidR="00FC4E8D" w:rsidRPr="00022D22" w:rsidRDefault="00B00BA8">
            <w:pPr>
              <w:spacing w:line="270" w:lineRule="exact"/>
              <w:ind w:left="80" w:right="80"/>
              <w:jc w:val="both"/>
              <w:rPr>
                <w:rFonts w:ascii="Century Gothic" w:eastAsia="Century Gothic" w:hAnsi="Century Gothic" w:cs="Century Gothic"/>
                <w:color w:val="000000"/>
                <w:sz w:val="22"/>
              </w:rPr>
            </w:pPr>
            <w:r>
              <w:rPr>
                <w:rFonts w:ascii="Century Gothic" w:eastAsia="Century Gothic" w:hAnsi="Century Gothic" w:cs="Century Gothic"/>
                <w:color w:val="000000"/>
                <w:sz w:val="22"/>
              </w:rPr>
              <w:t>3</w:t>
            </w:r>
            <w:r w:rsidR="00D238AB" w:rsidRPr="00022D22">
              <w:rPr>
                <w:rFonts w:ascii="Century Gothic" w:eastAsia="Century Gothic" w:hAnsi="Century Gothic" w:cs="Century Gothic"/>
                <w:color w:val="000000"/>
                <w:sz w:val="22"/>
              </w:rPr>
              <w:t>-Valeur environnementale</w:t>
            </w:r>
            <w:r w:rsidR="00CD5787" w:rsidRPr="00022D22">
              <w:rPr>
                <w:rFonts w:ascii="Century Gothic" w:eastAsia="Century Gothic" w:hAnsi="Century Gothic" w:cs="Century Gothic"/>
                <w:color w:val="000000"/>
                <w:sz w:val="22"/>
              </w:rPr>
              <w:t xml:space="preserve"> appréciée au regard du cadre de mémoire </w:t>
            </w:r>
            <w:r w:rsidR="00D238AB" w:rsidRPr="00022D22">
              <w:rPr>
                <w:rFonts w:ascii="Century Gothic" w:eastAsia="Century Gothic" w:hAnsi="Century Gothic" w:cs="Century Gothic"/>
                <w:color w:val="000000"/>
                <w:sz w:val="22"/>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6D21B" w14:textId="1AF4D200" w:rsidR="00FC4E8D" w:rsidRPr="00022D22" w:rsidRDefault="00D238AB">
            <w:pPr>
              <w:spacing w:before="60" w:after="20"/>
              <w:ind w:left="80" w:right="80"/>
              <w:jc w:val="both"/>
              <w:rPr>
                <w:rFonts w:ascii="Century Gothic" w:eastAsia="Century Gothic" w:hAnsi="Century Gothic" w:cs="Century Gothic"/>
                <w:color w:val="000000"/>
                <w:sz w:val="22"/>
              </w:rPr>
            </w:pPr>
            <w:r w:rsidRPr="00022D22">
              <w:rPr>
                <w:rFonts w:ascii="Century Gothic" w:eastAsia="Century Gothic" w:hAnsi="Century Gothic" w:cs="Century Gothic"/>
                <w:color w:val="000000"/>
                <w:sz w:val="22"/>
              </w:rPr>
              <w:t>10</w:t>
            </w:r>
            <w:r w:rsidR="00207B19" w:rsidRPr="00022D22">
              <w:rPr>
                <w:rFonts w:ascii="Century Gothic" w:eastAsia="Century Gothic" w:hAnsi="Century Gothic" w:cs="Century Gothic"/>
                <w:color w:val="000000"/>
                <w:sz w:val="22"/>
              </w:rPr>
              <w:t xml:space="preserve"> points </w:t>
            </w:r>
          </w:p>
        </w:tc>
      </w:tr>
    </w:tbl>
    <w:p w14:paraId="3F86D21F" w14:textId="43E19757" w:rsidR="00FC4E8D" w:rsidRPr="00022D22" w:rsidRDefault="00D238AB" w:rsidP="0064600C">
      <w:pPr>
        <w:spacing w:line="100" w:lineRule="exact"/>
        <w:rPr>
          <w:sz w:val="10"/>
        </w:rPr>
      </w:pPr>
      <w:r w:rsidRPr="00022D22">
        <w:t xml:space="preserve"> </w:t>
      </w:r>
    </w:p>
    <w:p w14:paraId="3F86D220" w14:textId="77777777" w:rsidR="00FC4E8D" w:rsidRPr="00022D22" w:rsidRDefault="00FC4E8D">
      <w:pPr>
        <w:spacing w:after="20" w:line="240" w:lineRule="exact"/>
      </w:pPr>
    </w:p>
    <w:p w14:paraId="0D4B70D0" w14:textId="77777777" w:rsidR="00022D22" w:rsidRPr="00022D22" w:rsidRDefault="00022D22" w:rsidP="00022D22">
      <w:pPr>
        <w:pStyle w:val="ParagrapheIndent2"/>
        <w:spacing w:line="270" w:lineRule="exact"/>
        <w:jc w:val="both"/>
        <w:rPr>
          <w:color w:val="000000"/>
        </w:rPr>
      </w:pPr>
      <w:r w:rsidRPr="00022D22">
        <w:rPr>
          <w:color w:val="000000"/>
        </w:rPr>
        <w:t>Dans le cas où des erreurs purement matérielles (de multiplication, d'addition ou de report) seraient constatées dans l'offre du candidat, l'entreprise sera invitée à confirmer l'offre rectifiée ; en cas de refus ou en l'absence de réponse, son offre sera éliminée comme non cohérente. </w:t>
      </w:r>
    </w:p>
    <w:p w14:paraId="223386F3" w14:textId="77777777" w:rsidR="00022D22" w:rsidRPr="00022D22" w:rsidRDefault="00022D22" w:rsidP="00022D22"/>
    <w:p w14:paraId="2DCCD246" w14:textId="77777777" w:rsidR="00022D22" w:rsidRPr="00022D22" w:rsidRDefault="00022D22" w:rsidP="00022D22">
      <w:pPr>
        <w:pStyle w:val="ParagrapheIndent2"/>
        <w:spacing w:line="270" w:lineRule="exact"/>
        <w:jc w:val="both"/>
        <w:rPr>
          <w:color w:val="000000"/>
        </w:rPr>
      </w:pPr>
      <w:r w:rsidRPr="00022D22">
        <w:rPr>
          <w:color w:val="000000"/>
        </w:rPr>
        <w:t>Le pouvoir adjudicateur se réserve la possibilité de demander aux candidats admis de préciser la teneur de leur offre. Ces demandes de précisions prendront la forme d’échanges écrits via la plateforme de dématérialisation. L’attention des candidats est portée sur le fait que les réponses apportées ne peuvent en aucun cas permettre de modifier l’offre (technique et financière) sous peine d’irrégularité conformément aux articles L2152-1 et L2152-2 du Code de la Commande Publique. </w:t>
      </w:r>
    </w:p>
    <w:p w14:paraId="4C2294F9" w14:textId="77777777" w:rsidR="0064600C" w:rsidRPr="00022D22" w:rsidRDefault="0064600C" w:rsidP="0064600C"/>
    <w:p w14:paraId="3F86D222" w14:textId="77777777" w:rsidR="00FC4E8D" w:rsidRPr="00022D22" w:rsidRDefault="00D238AB">
      <w:pPr>
        <w:pStyle w:val="ParagrapheIndent2"/>
        <w:spacing w:line="270" w:lineRule="exact"/>
        <w:jc w:val="both"/>
        <w:rPr>
          <w:color w:val="000000"/>
        </w:rPr>
      </w:pPr>
      <w:r w:rsidRPr="00022D22">
        <w:rPr>
          <w:b/>
          <w:color w:val="000000"/>
          <w:u w:val="single"/>
        </w:rPr>
        <w:t>Offres anormalement basses :</w:t>
      </w:r>
    </w:p>
    <w:p w14:paraId="3F86D223" w14:textId="77777777" w:rsidR="00FC4E8D" w:rsidRPr="00022D22" w:rsidRDefault="00D238AB">
      <w:pPr>
        <w:pStyle w:val="ParagrapheIndent2"/>
        <w:spacing w:line="270" w:lineRule="exact"/>
        <w:jc w:val="both"/>
        <w:rPr>
          <w:color w:val="000000"/>
        </w:rPr>
      </w:pPr>
      <w:r w:rsidRPr="00022D22">
        <w:rPr>
          <w:color w:val="000000"/>
        </w:rPr>
        <w:t>Conformément aux articles L. 2152-6 et R. 2152-3 à R. 2152-5 du Code de la Commande Publique, toute offre paraissant anormalement basse fera l’objet d’une vérification de sa viabilité économique.</w:t>
      </w:r>
    </w:p>
    <w:p w14:paraId="3F86D224" w14:textId="07D67EAC" w:rsidR="00FC4E8D" w:rsidRPr="00022D22" w:rsidRDefault="00D238AB">
      <w:pPr>
        <w:pStyle w:val="ParagrapheIndent2"/>
        <w:spacing w:line="270" w:lineRule="exact"/>
        <w:jc w:val="both"/>
        <w:rPr>
          <w:color w:val="000000"/>
        </w:rPr>
      </w:pPr>
      <w:r w:rsidRPr="00022D22">
        <w:rPr>
          <w:color w:val="000000"/>
        </w:rPr>
        <w:t>En procédure adaptée où la négociation est possible, la détection est effectuée avant la phase de négociation.</w:t>
      </w:r>
      <w:r w:rsidR="00BD6C57" w:rsidRPr="00022D22">
        <w:rPr>
          <w:color w:val="000000"/>
        </w:rPr>
        <w:t xml:space="preserve"> </w:t>
      </w:r>
      <w:r w:rsidRPr="00022D22">
        <w:rPr>
          <w:color w:val="000000"/>
        </w:rPr>
        <w:t>Les indices susceptibles de conduire le pouvoir adjudicateur à interroger un candidat sont, entre autres (liste non exhaustive)</w:t>
      </w:r>
      <w:r w:rsidR="00BD6C57" w:rsidRPr="00022D22">
        <w:rPr>
          <w:color w:val="000000"/>
        </w:rPr>
        <w:t xml:space="preserve"> </w:t>
      </w:r>
      <w:r w:rsidRPr="00022D22">
        <w:rPr>
          <w:color w:val="000000"/>
        </w:rPr>
        <w:t>:</w:t>
      </w:r>
    </w:p>
    <w:p w14:paraId="3F86D226" w14:textId="03985E8D" w:rsidR="00FC4E8D" w:rsidRPr="00022D22" w:rsidRDefault="00D238AB" w:rsidP="00BD6C57">
      <w:pPr>
        <w:pStyle w:val="ParagrapheIndent2"/>
        <w:spacing w:after="60" w:line="270" w:lineRule="exact"/>
        <w:jc w:val="both"/>
        <w:rPr>
          <w:color w:val="000000"/>
        </w:rPr>
      </w:pPr>
      <w:r w:rsidRPr="00022D22">
        <w:rPr>
          <w:color w:val="000000"/>
        </w:rPr>
        <w:t>- la comparaison avec les autres offres : le pouvoir adjudicateur utilisera un système constitué d’une phase d’alerte comportant un seuil en dessous duquel des justifications seront exigées. Ce seuil est fixé à 10% de la moyenne des offres des candidats, après élimination du calcul des offres supérieures de 20% à la première moyenne.</w:t>
      </w:r>
    </w:p>
    <w:p w14:paraId="3F86D227" w14:textId="77777777" w:rsidR="00FC4E8D" w:rsidRPr="00022D22" w:rsidRDefault="00D238AB">
      <w:pPr>
        <w:pStyle w:val="ParagrapheIndent2"/>
        <w:spacing w:line="270" w:lineRule="exact"/>
        <w:jc w:val="both"/>
        <w:rPr>
          <w:color w:val="000000"/>
        </w:rPr>
      </w:pPr>
      <w:r w:rsidRPr="00022D22">
        <w:rPr>
          <w:color w:val="000000"/>
        </w:rPr>
        <w:t>- la comparaison avec l’estimation du service acheteur : différence de 20% entre l’estimation du service acheteur et le prix de l’offre d’un candidat.</w:t>
      </w:r>
    </w:p>
    <w:p w14:paraId="3F86D228" w14:textId="52814A19" w:rsidR="00FC4E8D" w:rsidRPr="00022D22" w:rsidRDefault="00D238AB">
      <w:pPr>
        <w:pStyle w:val="ParagrapheIndent2"/>
        <w:spacing w:line="270" w:lineRule="exact"/>
        <w:jc w:val="both"/>
        <w:rPr>
          <w:color w:val="000000"/>
        </w:rPr>
      </w:pPr>
      <w:r w:rsidRPr="00022D22">
        <w:rPr>
          <w:color w:val="000000"/>
        </w:rPr>
        <w:lastRenderedPageBreak/>
        <w:t xml:space="preserve">Le pouvoir adjudicateur se réserve également la possibilité d’interroger un candidat dont l’offre paraitrait anormalement basse au vu des obligations qui s’imposent à lui (en matière sociale, obligations sociales issues du </w:t>
      </w:r>
      <w:r w:rsidR="0020105F" w:rsidRPr="00022D22">
        <w:rPr>
          <w:color w:val="000000"/>
        </w:rPr>
        <w:t>C</w:t>
      </w:r>
      <w:r w:rsidRPr="00022D22">
        <w:rPr>
          <w:color w:val="000000"/>
        </w:rPr>
        <w:t>ode du Travail et des conventions collectives, en termes de délais, de moyens humains ou matériels affectés aux prestations du marché…).</w:t>
      </w:r>
    </w:p>
    <w:p w14:paraId="3F86D22A" w14:textId="12A35643" w:rsidR="00FC4E8D" w:rsidRPr="00022D22" w:rsidRDefault="00D238AB" w:rsidP="0064600C">
      <w:pPr>
        <w:pStyle w:val="ParagrapheIndent2"/>
        <w:spacing w:line="270" w:lineRule="exact"/>
        <w:jc w:val="both"/>
        <w:rPr>
          <w:color w:val="000000"/>
        </w:rPr>
      </w:pPr>
      <w:r w:rsidRPr="00022D22">
        <w:rPr>
          <w:color w:val="000000"/>
        </w:rPr>
        <w:t>Dans le cas où le service acheteur, en charge de l’analyse des offres, considère le faisceau d’indices insuffisant, il motivera sa décision de ne pas mettre en œuvre la procédure de détection des offres anormalement basses dans le rapport d’analyse.Les offres interrogées qui ne seront pas justifiées ou insuffisamment justifiées seront déclarées anormalement basses et écartées.</w:t>
      </w:r>
    </w:p>
    <w:p w14:paraId="378977F5" w14:textId="77777777" w:rsidR="0064600C" w:rsidRPr="00022D22" w:rsidRDefault="0064600C" w:rsidP="0064600C"/>
    <w:p w14:paraId="3F86D22B"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55" w:name="ArtL2_NA9.5"/>
      <w:bookmarkStart w:id="56" w:name="_Toc242256524"/>
      <w:bookmarkEnd w:id="55"/>
      <w:r w:rsidRPr="00022D22">
        <w:rPr>
          <w:rFonts w:ascii="Century Gothic" w:eastAsia="Century Gothic" w:hAnsi="Century Gothic" w:cs="Century Gothic"/>
          <w:i w:val="0"/>
          <w:color w:val="000000"/>
          <w:sz w:val="24"/>
        </w:rPr>
        <w:t>8.3 - Négociation</w:t>
      </w:r>
      <w:bookmarkEnd w:id="56"/>
    </w:p>
    <w:p w14:paraId="3F86D22C" w14:textId="77777777" w:rsidR="00FC4E8D" w:rsidRPr="00022D22" w:rsidRDefault="00D238AB">
      <w:pPr>
        <w:pStyle w:val="ParagrapheIndent2"/>
        <w:spacing w:line="270" w:lineRule="exact"/>
        <w:jc w:val="both"/>
        <w:rPr>
          <w:color w:val="000000"/>
        </w:rPr>
      </w:pPr>
      <w:r w:rsidRPr="00022D22">
        <w:rPr>
          <w:color w:val="000000"/>
        </w:rPr>
        <w:t>L’acheteur se réserve la possibilité d’engager une négociation avec l’ensemble des candidats ayant présenté une offre.</w:t>
      </w:r>
    </w:p>
    <w:p w14:paraId="3F86D22D" w14:textId="77777777" w:rsidR="00FC4E8D" w:rsidRPr="00022D22" w:rsidRDefault="00D238AB">
      <w:pPr>
        <w:pStyle w:val="ParagrapheIndent2"/>
        <w:spacing w:line="270" w:lineRule="exact"/>
        <w:jc w:val="both"/>
        <w:rPr>
          <w:color w:val="000000"/>
        </w:rPr>
      </w:pPr>
      <w:r w:rsidRPr="00022D22">
        <w:rPr>
          <w:color w:val="000000"/>
        </w:rPr>
        <w:t>Toutefois, l’acheteur pourra attribuer le marché sur la base des offres initiales sans négociation. Il est donc de l’intérêt du candidat d’optimiser son offre dès la remise de celle-ci. Dans le cas où la phase de négociation serait enclenchée :</w:t>
      </w:r>
    </w:p>
    <w:p w14:paraId="3F86D22E" w14:textId="77777777" w:rsidR="00FC4E8D" w:rsidRPr="00022D22" w:rsidRDefault="00FC4E8D">
      <w:pPr>
        <w:pStyle w:val="ParagrapheIndent2"/>
        <w:spacing w:line="270" w:lineRule="exact"/>
        <w:jc w:val="both"/>
        <w:rPr>
          <w:color w:val="000000"/>
        </w:rPr>
      </w:pPr>
    </w:p>
    <w:p w14:paraId="3F86D22F" w14:textId="77777777" w:rsidR="00FC4E8D" w:rsidRPr="00022D22" w:rsidRDefault="00D238AB">
      <w:pPr>
        <w:pStyle w:val="ParagrapheIndent2"/>
        <w:spacing w:line="270" w:lineRule="exact"/>
        <w:jc w:val="both"/>
        <w:rPr>
          <w:color w:val="000000"/>
        </w:rPr>
      </w:pPr>
      <w:r w:rsidRPr="00022D22">
        <w:rPr>
          <w:color w:val="000000"/>
          <w:u w:val="single"/>
        </w:rPr>
        <w:t>Périmètre</w:t>
      </w:r>
      <w:r w:rsidRPr="00022D22">
        <w:rPr>
          <w:color w:val="000000"/>
        </w:rPr>
        <w:t xml:space="preserve"> : elle sera engagée librement avec tous les candidats. La négociation est conduite dans le respect du principe de l'égalité de traitement de tous les candidats.</w:t>
      </w:r>
    </w:p>
    <w:p w14:paraId="3F86D230" w14:textId="77777777" w:rsidR="00FC4E8D" w:rsidRPr="00022D22" w:rsidRDefault="00FC4E8D">
      <w:pPr>
        <w:pStyle w:val="ParagrapheIndent2"/>
        <w:spacing w:line="270" w:lineRule="exact"/>
        <w:jc w:val="both"/>
        <w:rPr>
          <w:color w:val="000000"/>
        </w:rPr>
      </w:pPr>
    </w:p>
    <w:p w14:paraId="3F86D231" w14:textId="77777777" w:rsidR="00FC4E8D" w:rsidRPr="00022D22" w:rsidRDefault="00D238AB">
      <w:pPr>
        <w:pStyle w:val="ParagrapheIndent2"/>
        <w:spacing w:line="270" w:lineRule="exact"/>
        <w:jc w:val="both"/>
        <w:rPr>
          <w:color w:val="000000"/>
        </w:rPr>
      </w:pPr>
      <w:r w:rsidRPr="00022D22">
        <w:rPr>
          <w:color w:val="000000"/>
          <w:u w:val="single"/>
        </w:rPr>
        <w:t>Contenu</w:t>
      </w:r>
      <w:r w:rsidRPr="00022D22">
        <w:rPr>
          <w:color w:val="000000"/>
        </w:rPr>
        <w:t xml:space="preserve"> : la négociation portera sur tous les éléments de l'offre des candidats.</w:t>
      </w:r>
    </w:p>
    <w:p w14:paraId="3F86D232" w14:textId="77777777" w:rsidR="00FC4E8D" w:rsidRPr="00022D22" w:rsidRDefault="00FC4E8D">
      <w:pPr>
        <w:pStyle w:val="ParagrapheIndent2"/>
        <w:spacing w:line="270" w:lineRule="exact"/>
        <w:jc w:val="both"/>
        <w:rPr>
          <w:color w:val="000000"/>
        </w:rPr>
      </w:pPr>
    </w:p>
    <w:p w14:paraId="3F86D233" w14:textId="77777777" w:rsidR="00FC4E8D" w:rsidRPr="00022D22" w:rsidRDefault="00D238AB">
      <w:pPr>
        <w:pStyle w:val="ParagrapheIndent2"/>
        <w:spacing w:line="270" w:lineRule="exact"/>
        <w:jc w:val="both"/>
        <w:rPr>
          <w:color w:val="000000"/>
        </w:rPr>
      </w:pPr>
      <w:r w:rsidRPr="00022D22">
        <w:rPr>
          <w:color w:val="000000"/>
          <w:u w:val="single"/>
        </w:rPr>
        <w:t>Modalités</w:t>
      </w:r>
      <w:r w:rsidRPr="00022D22">
        <w:rPr>
          <w:color w:val="000000"/>
        </w:rPr>
        <w:t xml:space="preserve"> : la négociation pourra prendre la forme d'échanges écrits et/ou d'entretiens avec le ou les candidats retenu(s) par le Pouvoir Adjudicateur. En cas d'échange écrit, les candidats devront impérativement répondre dans les conditions de forme et de délai indiqués sur la plateforme AWS. En cas de rencontre avec les candidats, une convocation sera transmise aux candidats en amont de l'entretien de négociation. A l'issue des négociations, les candidats remettront alors leur offre finale dans le délai maximal indiqué lors des échanges. Cette date de remise des offres finales sera identique pour tous les candidats.</w:t>
      </w:r>
    </w:p>
    <w:p w14:paraId="3F86D234" w14:textId="77777777" w:rsidR="00FC4E8D" w:rsidRPr="00022D22" w:rsidRDefault="00FC4E8D">
      <w:pPr>
        <w:pStyle w:val="ParagrapheIndent2"/>
        <w:spacing w:line="270" w:lineRule="exact"/>
        <w:jc w:val="both"/>
        <w:rPr>
          <w:color w:val="000000"/>
        </w:rPr>
      </w:pPr>
    </w:p>
    <w:p w14:paraId="3F86D236" w14:textId="31FA6839" w:rsidR="00FC4E8D" w:rsidRPr="00022D22" w:rsidRDefault="00D238AB" w:rsidP="0064600C">
      <w:pPr>
        <w:pStyle w:val="ParagrapheIndent2"/>
        <w:spacing w:line="270" w:lineRule="exact"/>
        <w:jc w:val="both"/>
        <w:rPr>
          <w:color w:val="000000"/>
        </w:rPr>
      </w:pPr>
      <w:r w:rsidRPr="00022D22">
        <w:rPr>
          <w:color w:val="000000"/>
          <w:u w:val="single"/>
        </w:rPr>
        <w:t>Classement des offres suivant négociation :</w:t>
      </w:r>
      <w:r w:rsidRPr="00022D22">
        <w:rPr>
          <w:color w:val="000000"/>
        </w:rPr>
        <w:t xml:space="preserve"> l'offre finale sera jugée selon les mêmes critères du présent règlement. Le classement final sera établi sur cette base.</w:t>
      </w:r>
    </w:p>
    <w:p w14:paraId="4EC77AB6" w14:textId="77777777" w:rsidR="0064600C" w:rsidRPr="00022D22" w:rsidRDefault="0064600C" w:rsidP="0064600C"/>
    <w:p w14:paraId="3F86D237"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57" w:name="ArtL2_RC-2-A10.4"/>
      <w:bookmarkStart w:id="58" w:name="_Toc242256525"/>
      <w:bookmarkEnd w:id="57"/>
      <w:r w:rsidRPr="00022D22">
        <w:rPr>
          <w:rFonts w:ascii="Century Gothic" w:eastAsia="Century Gothic" w:hAnsi="Century Gothic" w:cs="Century Gothic"/>
          <w:i w:val="0"/>
          <w:color w:val="000000"/>
          <w:sz w:val="24"/>
        </w:rPr>
        <w:t>8.4 - Suite à donner à la consultation</w:t>
      </w:r>
      <w:bookmarkEnd w:id="58"/>
    </w:p>
    <w:p w14:paraId="3F86D238" w14:textId="7F86C5A5" w:rsidR="00FC4E8D" w:rsidRPr="00022D22" w:rsidRDefault="00D238AB">
      <w:pPr>
        <w:pStyle w:val="ParagrapheIndent2"/>
        <w:spacing w:after="240" w:line="270" w:lineRule="exact"/>
        <w:jc w:val="both"/>
        <w:rPr>
          <w:color w:val="000000"/>
        </w:rPr>
      </w:pPr>
      <w:r w:rsidRPr="00022D22">
        <w:rPr>
          <w:color w:val="000000"/>
        </w:rPr>
        <w:t xml:space="preserve">L'offre la mieux classée sera donc retenue à titre provisoire en attendant que le ou les candidats produisent les certificats et attestations des articles R. 2143-6 à R. 2143-10 du Code de la </w:t>
      </w:r>
      <w:r w:rsidR="0020105F" w:rsidRPr="00022D22">
        <w:rPr>
          <w:color w:val="000000"/>
        </w:rPr>
        <w:t>C</w:t>
      </w:r>
      <w:r w:rsidRPr="00022D22">
        <w:rPr>
          <w:color w:val="000000"/>
        </w:rPr>
        <w:t xml:space="preserve">ommande </w:t>
      </w:r>
      <w:r w:rsidR="0020105F" w:rsidRPr="00022D22">
        <w:rPr>
          <w:color w:val="000000"/>
        </w:rPr>
        <w:t>P</w:t>
      </w:r>
      <w:r w:rsidRPr="00022D22">
        <w:rPr>
          <w:color w:val="000000"/>
        </w:rPr>
        <w:t>ublique. Le délai imparti par le pouvoir adjudicateur pour remettre ces documents ne pourra être supérieur à 10 jours.</w:t>
      </w:r>
    </w:p>
    <w:p w14:paraId="3F86D239" w14:textId="77777777" w:rsidR="00FC4E8D" w:rsidRPr="00022D22" w:rsidRDefault="00D238AB">
      <w:pPr>
        <w:pStyle w:val="ParagrapheIndent2"/>
        <w:spacing w:line="270" w:lineRule="exact"/>
        <w:jc w:val="both"/>
        <w:rPr>
          <w:color w:val="000000"/>
        </w:rPr>
        <w:sectPr w:rsidR="00FC4E8D" w:rsidRPr="00022D22">
          <w:footerReference w:type="default" r:id="rId27"/>
          <w:pgSz w:w="11900" w:h="16840"/>
          <w:pgMar w:top="1140" w:right="1140" w:bottom="580" w:left="1140" w:header="1140" w:footer="580" w:gutter="0"/>
          <w:cols w:space="708"/>
        </w:sectPr>
      </w:pPr>
      <w:r w:rsidRPr="00022D22">
        <w:rPr>
          <w:color w:val="000000"/>
        </w:rPr>
        <w:t>Une attestation d'assurance décennale devra également être produite dans le même délai.</w:t>
      </w:r>
      <w:r w:rsidRPr="00022D22">
        <w:rPr>
          <w:color w:val="000000"/>
        </w:rPr>
        <w:cr/>
      </w:r>
    </w:p>
    <w:p w14:paraId="3F86D23A" w14:textId="77777777" w:rsidR="00FC4E8D" w:rsidRPr="00022D22" w:rsidRDefault="00D238AB">
      <w:pPr>
        <w:pStyle w:val="Titre1"/>
        <w:shd w:val="clear" w:color="FD2456" w:fill="FD2456"/>
        <w:rPr>
          <w:rFonts w:ascii="Century Gothic" w:eastAsia="Century Gothic" w:hAnsi="Century Gothic" w:cs="Century Gothic"/>
          <w:color w:val="FFFFFF"/>
          <w:sz w:val="28"/>
        </w:rPr>
      </w:pPr>
      <w:bookmarkStart w:id="59" w:name="ArtL1_RC-2-A14"/>
      <w:bookmarkStart w:id="60" w:name="_Toc242256526"/>
      <w:bookmarkEnd w:id="59"/>
      <w:r w:rsidRPr="00022D22">
        <w:rPr>
          <w:rFonts w:ascii="Century Gothic" w:eastAsia="Century Gothic" w:hAnsi="Century Gothic" w:cs="Century Gothic"/>
          <w:color w:val="FFFFFF"/>
          <w:sz w:val="28"/>
        </w:rPr>
        <w:lastRenderedPageBreak/>
        <w:t>9 - Renseignements complémentaires</w:t>
      </w:r>
      <w:bookmarkEnd w:id="60"/>
    </w:p>
    <w:p w14:paraId="3F86D23B" w14:textId="77777777" w:rsidR="00FC4E8D" w:rsidRPr="00022D22" w:rsidRDefault="00D238AB">
      <w:pPr>
        <w:spacing w:line="60" w:lineRule="exact"/>
        <w:rPr>
          <w:sz w:val="6"/>
        </w:rPr>
      </w:pPr>
      <w:r w:rsidRPr="00022D22">
        <w:t xml:space="preserve"> </w:t>
      </w:r>
    </w:p>
    <w:p w14:paraId="3F86D23C" w14:textId="77777777" w:rsidR="00FC4E8D" w:rsidRPr="00022D22" w:rsidRDefault="00D238AB">
      <w:pPr>
        <w:pStyle w:val="Titre2"/>
        <w:ind w:left="280"/>
        <w:jc w:val="both"/>
        <w:rPr>
          <w:rFonts w:ascii="Century Gothic" w:eastAsia="Century Gothic" w:hAnsi="Century Gothic" w:cs="Century Gothic"/>
          <w:i w:val="0"/>
          <w:color w:val="000000"/>
          <w:sz w:val="24"/>
        </w:rPr>
      </w:pPr>
      <w:bookmarkStart w:id="61" w:name="ArtL2_RC-2-A14.1"/>
      <w:bookmarkStart w:id="62" w:name="_Toc242256527"/>
      <w:bookmarkEnd w:id="61"/>
      <w:r w:rsidRPr="00022D22">
        <w:rPr>
          <w:rFonts w:ascii="Century Gothic" w:eastAsia="Century Gothic" w:hAnsi="Century Gothic" w:cs="Century Gothic"/>
          <w:i w:val="0"/>
          <w:color w:val="000000"/>
          <w:sz w:val="24"/>
        </w:rPr>
        <w:t>9.1 - Adresses supplémentaires et points de contact</w:t>
      </w:r>
      <w:bookmarkEnd w:id="62"/>
    </w:p>
    <w:p w14:paraId="3F86D23D" w14:textId="77777777" w:rsidR="00FC4E8D" w:rsidRPr="00022D22" w:rsidRDefault="00D238AB">
      <w:pPr>
        <w:pStyle w:val="ParagrapheIndent2"/>
        <w:spacing w:line="270" w:lineRule="exact"/>
        <w:jc w:val="both"/>
        <w:rPr>
          <w:color w:val="000000"/>
        </w:rPr>
      </w:pPr>
      <w:r w:rsidRPr="00022D22">
        <w:rPr>
          <w:color w:val="000000"/>
        </w:rPr>
        <w:t>Pour tout renseignement complémentaire concernant cette consultation, les candidats transmettent impérativement leur demande par l'intermédiaire du profil d'acheteur du pouvoir adjudicateur, dont l'adresse URL est la suivante : http://agysoft.marches-publics.info</w:t>
      </w:r>
    </w:p>
    <w:p w14:paraId="3F86D23E" w14:textId="77777777" w:rsidR="00FC4E8D" w:rsidRPr="00022D22" w:rsidRDefault="00FC4E8D">
      <w:pPr>
        <w:pStyle w:val="ParagrapheIndent2"/>
        <w:spacing w:line="270" w:lineRule="exact"/>
        <w:jc w:val="both"/>
        <w:rPr>
          <w:color w:val="000000"/>
        </w:rPr>
      </w:pPr>
    </w:p>
    <w:p w14:paraId="3F86D23F" w14:textId="77777777" w:rsidR="00FC4E8D" w:rsidRPr="00022D22" w:rsidRDefault="00D238AB">
      <w:pPr>
        <w:pStyle w:val="ParagrapheIndent2"/>
        <w:spacing w:after="240" w:line="270" w:lineRule="exact"/>
        <w:jc w:val="both"/>
        <w:rPr>
          <w:color w:val="000000"/>
        </w:rPr>
      </w:pPr>
      <w:r w:rsidRPr="00022D22">
        <w:rPr>
          <w:color w:val="000000"/>
        </w:rPr>
        <w:t>Cette demande doit intervenir au plus tard 10 jours avant la date limite de remise des plis.</w:t>
      </w:r>
    </w:p>
    <w:p w14:paraId="3F86D240" w14:textId="77777777" w:rsidR="00FC4E8D" w:rsidRPr="00022D22" w:rsidRDefault="00D238AB">
      <w:pPr>
        <w:pStyle w:val="ParagrapheIndent2"/>
        <w:spacing w:after="240" w:line="270" w:lineRule="exact"/>
        <w:jc w:val="both"/>
        <w:rPr>
          <w:color w:val="000000"/>
        </w:rPr>
      </w:pPr>
      <w:r w:rsidRPr="00022D22">
        <w:rPr>
          <w:color w:val="000000"/>
        </w:rPr>
        <w:t>Une réponse sera alors adressée, à toutes les entreprises ayant retiré le dossier ou l'ayant téléchargé après identification, 6 jours au plus tard avant la date limite de remise des plis.</w:t>
      </w:r>
    </w:p>
    <w:p w14:paraId="367203AB" w14:textId="7F5EF690" w:rsidR="002C732D" w:rsidRDefault="00D238AB" w:rsidP="00BB46CE">
      <w:pPr>
        <w:pStyle w:val="Titre2"/>
        <w:ind w:left="280"/>
        <w:jc w:val="both"/>
        <w:rPr>
          <w:rFonts w:ascii="Century Gothic" w:eastAsia="Century Gothic" w:hAnsi="Century Gothic" w:cs="Century Gothic"/>
          <w:i w:val="0"/>
          <w:color w:val="000000"/>
          <w:sz w:val="24"/>
        </w:rPr>
      </w:pPr>
      <w:bookmarkStart w:id="63" w:name="ArtL2_RC-2-A14.2"/>
      <w:bookmarkStart w:id="64" w:name="_Toc242256528"/>
      <w:bookmarkEnd w:id="63"/>
      <w:r w:rsidRPr="00022D22">
        <w:rPr>
          <w:rFonts w:ascii="Century Gothic" w:eastAsia="Century Gothic" w:hAnsi="Century Gothic" w:cs="Century Gothic"/>
          <w:i w:val="0"/>
          <w:color w:val="000000"/>
          <w:sz w:val="24"/>
        </w:rPr>
        <w:t>9.2 - Procédures de recours</w:t>
      </w:r>
      <w:bookmarkEnd w:id="64"/>
    </w:p>
    <w:p w14:paraId="3CADC81E" w14:textId="77777777" w:rsidR="00BB46CE" w:rsidRPr="00BB46CE" w:rsidRDefault="00BB46CE" w:rsidP="00BB46CE"/>
    <w:p w14:paraId="3F86D24B" w14:textId="77777777" w:rsidR="00FC4E8D" w:rsidRPr="00022D22" w:rsidRDefault="00D238AB">
      <w:pPr>
        <w:pStyle w:val="ParagrapheIndent2"/>
        <w:spacing w:line="270" w:lineRule="exact"/>
        <w:jc w:val="both"/>
        <w:rPr>
          <w:color w:val="000000"/>
        </w:rPr>
      </w:pPr>
      <w:r w:rsidRPr="00022D22">
        <w:rPr>
          <w:color w:val="000000"/>
        </w:rPr>
        <w:t>Pour obtenir des renseignements relatifs à l'introduction des recours, les candidats devront s'adresser à :</w:t>
      </w:r>
    </w:p>
    <w:p w14:paraId="3F86D24C" w14:textId="77777777" w:rsidR="00FC4E8D" w:rsidRPr="00022D22" w:rsidRDefault="00D238AB">
      <w:pPr>
        <w:pStyle w:val="ParagrapheIndent2"/>
        <w:spacing w:line="270" w:lineRule="exact"/>
        <w:jc w:val="both"/>
        <w:rPr>
          <w:color w:val="000000"/>
        </w:rPr>
      </w:pPr>
      <w:r w:rsidRPr="00022D22">
        <w:rPr>
          <w:color w:val="000000"/>
        </w:rPr>
        <w:t>Tribunal Administratif de Montpellier</w:t>
      </w:r>
    </w:p>
    <w:p w14:paraId="3F86D24D" w14:textId="77777777" w:rsidR="00FC4E8D" w:rsidRPr="00022D22" w:rsidRDefault="00D238AB">
      <w:pPr>
        <w:pStyle w:val="ParagrapheIndent2"/>
        <w:spacing w:line="270" w:lineRule="exact"/>
        <w:jc w:val="both"/>
        <w:rPr>
          <w:color w:val="000000"/>
        </w:rPr>
      </w:pPr>
      <w:r w:rsidRPr="00022D22">
        <w:rPr>
          <w:color w:val="000000"/>
        </w:rPr>
        <w:t>6 rue Pitot</w:t>
      </w:r>
    </w:p>
    <w:p w14:paraId="3F86D24E" w14:textId="77777777" w:rsidR="00FC4E8D" w:rsidRPr="00022D22" w:rsidRDefault="00D238AB">
      <w:pPr>
        <w:pStyle w:val="ParagrapheIndent2"/>
        <w:spacing w:line="270" w:lineRule="exact"/>
        <w:jc w:val="both"/>
        <w:rPr>
          <w:color w:val="000000"/>
        </w:rPr>
      </w:pPr>
      <w:r w:rsidRPr="00022D22">
        <w:rPr>
          <w:color w:val="000000"/>
        </w:rPr>
        <w:t>34063 MONTPELLIER CEDEX 2</w:t>
      </w:r>
    </w:p>
    <w:p w14:paraId="3F86D24F" w14:textId="77777777" w:rsidR="00FC4E8D" w:rsidRPr="00022D22" w:rsidRDefault="00FC4E8D">
      <w:pPr>
        <w:pStyle w:val="ParagrapheIndent2"/>
        <w:spacing w:line="270" w:lineRule="exact"/>
        <w:jc w:val="both"/>
        <w:rPr>
          <w:color w:val="000000"/>
        </w:rPr>
      </w:pPr>
    </w:p>
    <w:p w14:paraId="3F86D250" w14:textId="77777777" w:rsidR="00FC4E8D" w:rsidRPr="00022D22" w:rsidRDefault="00D238AB">
      <w:pPr>
        <w:pStyle w:val="ParagrapheIndent2"/>
        <w:spacing w:line="270" w:lineRule="exact"/>
        <w:jc w:val="both"/>
        <w:rPr>
          <w:color w:val="000000"/>
        </w:rPr>
      </w:pPr>
      <w:r w:rsidRPr="00022D22">
        <w:rPr>
          <w:color w:val="000000"/>
        </w:rPr>
        <w:t>Tél : 04 67 54 81 00</w:t>
      </w:r>
    </w:p>
    <w:p w14:paraId="3F86D251" w14:textId="77777777" w:rsidR="00FC4E8D" w:rsidRPr="00022D22" w:rsidRDefault="00D238AB">
      <w:pPr>
        <w:pStyle w:val="ParagrapheIndent2"/>
        <w:spacing w:line="270" w:lineRule="exact"/>
        <w:jc w:val="both"/>
        <w:rPr>
          <w:color w:val="000000"/>
        </w:rPr>
      </w:pPr>
      <w:r w:rsidRPr="00022D22">
        <w:rPr>
          <w:color w:val="000000"/>
        </w:rPr>
        <w:t>Télécopie : 04 67 54 74 10</w:t>
      </w:r>
    </w:p>
    <w:p w14:paraId="3F86D253" w14:textId="79B8699A" w:rsidR="00FC4E8D" w:rsidRPr="00022D22" w:rsidRDefault="00D238AB">
      <w:pPr>
        <w:pStyle w:val="ParagrapheIndent2"/>
        <w:spacing w:line="270" w:lineRule="exact"/>
        <w:jc w:val="both"/>
        <w:rPr>
          <w:color w:val="000000"/>
        </w:rPr>
      </w:pPr>
      <w:r w:rsidRPr="00022D22">
        <w:rPr>
          <w:color w:val="000000"/>
        </w:rPr>
        <w:t>Courriel : greffe.ta-montpellier@juradm.fr</w:t>
      </w:r>
    </w:p>
    <w:p w14:paraId="3F86D254" w14:textId="77777777" w:rsidR="00FC4E8D" w:rsidRPr="00022D22" w:rsidRDefault="00FC4E8D">
      <w:pPr>
        <w:pStyle w:val="ParagrapheIndent2"/>
        <w:spacing w:line="270" w:lineRule="exact"/>
        <w:jc w:val="both"/>
        <w:rPr>
          <w:color w:val="000000"/>
        </w:rPr>
      </w:pPr>
    </w:p>
    <w:p w14:paraId="3F86D255" w14:textId="77777777" w:rsidR="00FC4E8D" w:rsidRPr="00022D22" w:rsidRDefault="00D238AB">
      <w:pPr>
        <w:pStyle w:val="ParagrapheIndent2"/>
        <w:spacing w:line="270" w:lineRule="exact"/>
        <w:jc w:val="both"/>
        <w:rPr>
          <w:color w:val="000000"/>
        </w:rPr>
      </w:pPr>
      <w:r w:rsidRPr="00022D22">
        <w:rPr>
          <w:color w:val="000000"/>
        </w:rPr>
        <w:t>Précisions concernant les délais d'introduction des recours :</w:t>
      </w:r>
    </w:p>
    <w:p w14:paraId="3F86D256" w14:textId="77777777" w:rsidR="00FC4E8D" w:rsidRPr="00022D22" w:rsidRDefault="00FC4E8D">
      <w:pPr>
        <w:pStyle w:val="ParagrapheIndent2"/>
        <w:spacing w:line="270" w:lineRule="exact"/>
        <w:jc w:val="both"/>
        <w:rPr>
          <w:color w:val="000000"/>
        </w:rPr>
      </w:pPr>
    </w:p>
    <w:p w14:paraId="3F86D257" w14:textId="77777777" w:rsidR="00FC4E8D" w:rsidRPr="00022D22" w:rsidRDefault="00D238AB">
      <w:pPr>
        <w:pStyle w:val="ParagrapheIndent2"/>
        <w:spacing w:line="270" w:lineRule="exact"/>
        <w:jc w:val="both"/>
        <w:rPr>
          <w:color w:val="000000"/>
        </w:rPr>
      </w:pPr>
      <w:r w:rsidRPr="00022D22">
        <w:rPr>
          <w:color w:val="000000"/>
        </w:rPr>
        <w:t>Référé pré-contractuel prévu aux articles L.551-1 à L.551-12 du Code de justice administrative (CJA), et pouvant être exercé avant la signature du contrat.</w:t>
      </w:r>
    </w:p>
    <w:p w14:paraId="3F86D258" w14:textId="77777777" w:rsidR="00FC4E8D" w:rsidRPr="00022D22" w:rsidRDefault="00FC4E8D">
      <w:pPr>
        <w:pStyle w:val="ParagrapheIndent2"/>
        <w:spacing w:line="270" w:lineRule="exact"/>
        <w:jc w:val="both"/>
        <w:rPr>
          <w:color w:val="000000"/>
        </w:rPr>
      </w:pPr>
    </w:p>
    <w:p w14:paraId="3F86D259" w14:textId="77777777" w:rsidR="00FC4E8D" w:rsidRPr="00022D22" w:rsidRDefault="00D238AB">
      <w:pPr>
        <w:pStyle w:val="ParagrapheIndent2"/>
        <w:spacing w:line="270" w:lineRule="exact"/>
        <w:jc w:val="both"/>
        <w:rPr>
          <w:color w:val="000000"/>
        </w:rPr>
      </w:pPr>
      <w:r w:rsidRPr="00022D22">
        <w:rPr>
          <w:color w:val="000000"/>
        </w:rPr>
        <w:t>Référé contractuel prévu aux articles L.551-13 à L.551-23 du CJA, et pouvant être exercé dans les délais prévus à l'article R. 551-7 du CJA.</w:t>
      </w:r>
    </w:p>
    <w:p w14:paraId="3F86D25A" w14:textId="77777777" w:rsidR="00FC4E8D" w:rsidRPr="00022D22" w:rsidRDefault="00FC4E8D">
      <w:pPr>
        <w:pStyle w:val="ParagrapheIndent2"/>
        <w:spacing w:line="270" w:lineRule="exact"/>
        <w:jc w:val="both"/>
        <w:rPr>
          <w:color w:val="000000"/>
        </w:rPr>
      </w:pPr>
    </w:p>
    <w:p w14:paraId="3F86D25B" w14:textId="77777777" w:rsidR="00FC4E8D" w:rsidRPr="00022D22" w:rsidRDefault="00D238AB">
      <w:pPr>
        <w:pStyle w:val="ParagrapheIndent2"/>
        <w:spacing w:line="270" w:lineRule="exact"/>
        <w:jc w:val="both"/>
        <w:rPr>
          <w:color w:val="000000"/>
        </w:rPr>
      </w:pPr>
      <w:r w:rsidRPr="00022D22">
        <w:rPr>
          <w:color w:val="000000"/>
        </w:rPr>
        <w:t>Recours de pleine juridiction ouvert aux tiers justifiant d'un intérêt lésé, et pouvant être exercé dans les deux mois suivant la date à laquelle la conclusion du contrat est rendue publique.</w:t>
      </w:r>
    </w:p>
    <w:p w14:paraId="3F86D25C" w14:textId="77777777" w:rsidR="00FC4E8D" w:rsidRPr="00022D22" w:rsidRDefault="00FC4E8D">
      <w:pPr>
        <w:pStyle w:val="ParagrapheIndent2"/>
        <w:spacing w:line="270" w:lineRule="exact"/>
        <w:jc w:val="both"/>
        <w:rPr>
          <w:color w:val="000000"/>
        </w:rPr>
      </w:pPr>
    </w:p>
    <w:p w14:paraId="3F86D25E" w14:textId="3287BCBF" w:rsidR="00FC4E8D" w:rsidRPr="00022D22" w:rsidRDefault="00D238AB" w:rsidP="00207B19">
      <w:pPr>
        <w:pStyle w:val="ParagrapheIndent2"/>
        <w:spacing w:after="100" w:line="270" w:lineRule="exact"/>
        <w:jc w:val="both"/>
        <w:rPr>
          <w:color w:val="000000"/>
        </w:rPr>
      </w:pPr>
      <w:r w:rsidRPr="00022D22">
        <w:rPr>
          <w:color w:val="000000"/>
        </w:rPr>
        <w:t>Dans le cas de disposition(s) ayant pour effet l'organisation ou le fonctionnement d'un service public : Recours pour Excès de Pouvoir (REP)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3F86D25F" w14:textId="77777777" w:rsidR="00FC4E8D" w:rsidRPr="00022D22" w:rsidRDefault="00FC4E8D">
      <w:pPr>
        <w:pStyle w:val="ParagrapheIndent2"/>
        <w:spacing w:line="270" w:lineRule="exact"/>
        <w:jc w:val="both"/>
        <w:rPr>
          <w:color w:val="000000"/>
        </w:rPr>
      </w:pPr>
    </w:p>
    <w:p w14:paraId="3F86D260" w14:textId="77777777" w:rsidR="00FC4E8D" w:rsidRDefault="00D238AB">
      <w:pPr>
        <w:pStyle w:val="ParagrapheIndent2"/>
        <w:spacing w:line="270" w:lineRule="exact"/>
        <w:jc w:val="both"/>
        <w:rPr>
          <w:color w:val="000000"/>
        </w:rPr>
      </w:pPr>
      <w:r w:rsidRPr="00022D22">
        <w:rPr>
          <w:color w:val="000000"/>
        </w:rPr>
        <w:t> </w:t>
      </w:r>
    </w:p>
    <w:sectPr w:rsidR="00FC4E8D">
      <w:footerReference w:type="default" r:id="rId28"/>
      <w:pgSz w:w="11900" w:h="16840"/>
      <w:pgMar w:top="1140" w:right="1140" w:bottom="580" w:left="1140" w:header="1140" w:footer="5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389C8" w14:textId="77777777" w:rsidR="001C0864" w:rsidRPr="00022D22" w:rsidRDefault="001C0864">
      <w:r w:rsidRPr="00022D22">
        <w:separator/>
      </w:r>
    </w:p>
  </w:endnote>
  <w:endnote w:type="continuationSeparator" w:id="0">
    <w:p w14:paraId="007506C6" w14:textId="77777777" w:rsidR="001C0864" w:rsidRPr="00022D22" w:rsidRDefault="001C0864">
      <w:r w:rsidRPr="00022D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D27B" w14:textId="77777777" w:rsidR="00FC4E8D" w:rsidRPr="00022D22" w:rsidRDefault="00FC4E8D">
    <w:pPr>
      <w:spacing w:line="240" w:lineRule="exact"/>
    </w:pPr>
  </w:p>
  <w:tbl>
    <w:tblPr>
      <w:tblW w:w="0" w:type="auto"/>
      <w:tblLayout w:type="fixed"/>
      <w:tblLook w:val="04A0" w:firstRow="1" w:lastRow="0" w:firstColumn="1" w:lastColumn="0" w:noHBand="0" w:noVBand="1"/>
    </w:tblPr>
    <w:tblGrid>
      <w:gridCol w:w="5220"/>
      <w:gridCol w:w="4400"/>
    </w:tblGrid>
    <w:tr w:rsidR="00FC4E8D" w:rsidRPr="00022D22" w14:paraId="3F86D27E" w14:textId="77777777">
      <w:trPr>
        <w:trHeight w:val="245"/>
      </w:trPr>
      <w:tc>
        <w:tcPr>
          <w:tcW w:w="5220" w:type="dxa"/>
          <w:tcMar>
            <w:top w:w="0" w:type="dxa"/>
            <w:left w:w="0" w:type="dxa"/>
            <w:bottom w:w="0" w:type="dxa"/>
            <w:right w:w="0" w:type="dxa"/>
          </w:tcMar>
          <w:vAlign w:val="center"/>
        </w:tcPr>
        <w:p w14:paraId="3F86D27C" w14:textId="77777777" w:rsidR="00FC4E8D" w:rsidRPr="00022D22" w:rsidRDefault="00D238AB">
          <w:pPr>
            <w:pStyle w:val="PiedDePage"/>
            <w:jc w:val="both"/>
            <w:rPr>
              <w:color w:val="000000"/>
            </w:rPr>
          </w:pPr>
          <w:r w:rsidRPr="00022D22">
            <w:rPr>
              <w:color w:val="000000"/>
            </w:rPr>
            <w:t>Consultation n°: 26MDNAUPA41</w:t>
          </w:r>
        </w:p>
      </w:tc>
      <w:tc>
        <w:tcPr>
          <w:tcW w:w="4400" w:type="dxa"/>
          <w:tcMar>
            <w:top w:w="0" w:type="dxa"/>
            <w:left w:w="0" w:type="dxa"/>
            <w:bottom w:w="0" w:type="dxa"/>
            <w:right w:w="0" w:type="dxa"/>
          </w:tcMar>
          <w:vAlign w:val="center"/>
        </w:tcPr>
        <w:p w14:paraId="3F86D27D" w14:textId="77777777" w:rsidR="00FC4E8D" w:rsidRPr="00022D22" w:rsidRDefault="00D238AB">
          <w:pPr>
            <w:pStyle w:val="PiedDePage"/>
            <w:jc w:val="right"/>
            <w:rPr>
              <w:color w:val="000000"/>
            </w:rPr>
          </w:pPr>
          <w:r w:rsidRPr="00022D22">
            <w:rPr>
              <w:color w:val="000000"/>
            </w:rPr>
            <w:t xml:space="preserve">Page </w:t>
          </w:r>
          <w:r w:rsidRPr="00022D22">
            <w:rPr>
              <w:color w:val="000000"/>
            </w:rPr>
            <w:fldChar w:fldCharType="begin"/>
          </w:r>
          <w:r w:rsidRPr="00022D22">
            <w:rPr>
              <w:color w:val="000000"/>
            </w:rPr>
            <w:instrText xml:space="preserve"> PAGE </w:instrText>
          </w:r>
          <w:r w:rsidRPr="00022D22">
            <w:rPr>
              <w:color w:val="000000"/>
            </w:rPr>
            <w:fldChar w:fldCharType="separate"/>
          </w:r>
          <w:r w:rsidRPr="00022D22">
            <w:rPr>
              <w:color w:val="000000"/>
            </w:rPr>
            <w:t>10</w:t>
          </w:r>
          <w:r w:rsidRPr="00022D22">
            <w:rPr>
              <w:color w:val="000000"/>
            </w:rPr>
            <w:fldChar w:fldCharType="end"/>
          </w:r>
          <w:r w:rsidRPr="00022D22">
            <w:rPr>
              <w:color w:val="000000"/>
            </w:rPr>
            <w:t xml:space="preserve"> sur </w:t>
          </w:r>
          <w:r w:rsidRPr="00022D22">
            <w:rPr>
              <w:color w:val="000000"/>
            </w:rPr>
            <w:fldChar w:fldCharType="begin"/>
          </w:r>
          <w:r w:rsidRPr="00022D22">
            <w:rPr>
              <w:color w:val="000000"/>
            </w:rPr>
            <w:instrText xml:space="preserve"> NUMPAGES </w:instrText>
          </w:r>
          <w:r w:rsidRPr="00022D22">
            <w:rPr>
              <w:color w:val="000000"/>
            </w:rPr>
            <w:fldChar w:fldCharType="separate"/>
          </w:r>
          <w:r w:rsidRPr="00022D22">
            <w:rPr>
              <w:color w:val="000000"/>
            </w:rPr>
            <w:t>21</w:t>
          </w:r>
          <w:r w:rsidRPr="00022D22">
            <w:rPr>
              <w:color w:val="00000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D27F" w14:textId="77777777" w:rsidR="00FC4E8D" w:rsidRPr="00022D22" w:rsidRDefault="00FC4E8D">
    <w:pPr>
      <w:spacing w:line="240" w:lineRule="exact"/>
    </w:pPr>
  </w:p>
  <w:tbl>
    <w:tblPr>
      <w:tblW w:w="0" w:type="auto"/>
      <w:tblLayout w:type="fixed"/>
      <w:tblLook w:val="04A0" w:firstRow="1" w:lastRow="0" w:firstColumn="1" w:lastColumn="0" w:noHBand="0" w:noVBand="1"/>
    </w:tblPr>
    <w:tblGrid>
      <w:gridCol w:w="5220"/>
      <w:gridCol w:w="4400"/>
    </w:tblGrid>
    <w:tr w:rsidR="00FC4E8D" w:rsidRPr="00022D22" w14:paraId="3F86D282" w14:textId="77777777">
      <w:trPr>
        <w:trHeight w:val="245"/>
      </w:trPr>
      <w:tc>
        <w:tcPr>
          <w:tcW w:w="5220" w:type="dxa"/>
          <w:tcMar>
            <w:top w:w="0" w:type="dxa"/>
            <w:left w:w="0" w:type="dxa"/>
            <w:bottom w:w="0" w:type="dxa"/>
            <w:right w:w="0" w:type="dxa"/>
          </w:tcMar>
          <w:vAlign w:val="center"/>
        </w:tcPr>
        <w:p w14:paraId="3F86D280" w14:textId="77777777" w:rsidR="00FC4E8D" w:rsidRPr="00022D22" w:rsidRDefault="00D238AB">
          <w:pPr>
            <w:pStyle w:val="PiedDePage"/>
            <w:jc w:val="both"/>
            <w:rPr>
              <w:color w:val="000000"/>
            </w:rPr>
          </w:pPr>
          <w:r w:rsidRPr="00022D22">
            <w:rPr>
              <w:color w:val="000000"/>
            </w:rPr>
            <w:t>Consultation n°: 26MDNAUPA41</w:t>
          </w:r>
        </w:p>
      </w:tc>
      <w:tc>
        <w:tcPr>
          <w:tcW w:w="4400" w:type="dxa"/>
          <w:tcMar>
            <w:top w:w="0" w:type="dxa"/>
            <w:left w:w="0" w:type="dxa"/>
            <w:bottom w:w="0" w:type="dxa"/>
            <w:right w:w="0" w:type="dxa"/>
          </w:tcMar>
          <w:vAlign w:val="center"/>
        </w:tcPr>
        <w:p w14:paraId="3F86D281" w14:textId="77777777" w:rsidR="00FC4E8D" w:rsidRPr="00022D22" w:rsidRDefault="00D238AB">
          <w:pPr>
            <w:pStyle w:val="PiedDePage"/>
            <w:jc w:val="right"/>
            <w:rPr>
              <w:color w:val="000000"/>
            </w:rPr>
          </w:pPr>
          <w:r w:rsidRPr="00022D22">
            <w:rPr>
              <w:color w:val="000000"/>
            </w:rPr>
            <w:t xml:space="preserve">Page </w:t>
          </w:r>
          <w:r w:rsidRPr="00022D22">
            <w:rPr>
              <w:color w:val="000000"/>
            </w:rPr>
            <w:fldChar w:fldCharType="begin"/>
          </w:r>
          <w:r w:rsidRPr="00022D22">
            <w:rPr>
              <w:color w:val="000000"/>
            </w:rPr>
            <w:instrText xml:space="preserve"> PAGE </w:instrText>
          </w:r>
          <w:r w:rsidRPr="00022D22">
            <w:rPr>
              <w:color w:val="000000"/>
            </w:rPr>
            <w:fldChar w:fldCharType="separate"/>
          </w:r>
          <w:r w:rsidRPr="00022D22">
            <w:rPr>
              <w:color w:val="000000"/>
            </w:rPr>
            <w:t>12</w:t>
          </w:r>
          <w:r w:rsidRPr="00022D22">
            <w:rPr>
              <w:color w:val="000000"/>
            </w:rPr>
            <w:fldChar w:fldCharType="end"/>
          </w:r>
          <w:r w:rsidRPr="00022D22">
            <w:rPr>
              <w:color w:val="000000"/>
            </w:rPr>
            <w:t xml:space="preserve"> sur </w:t>
          </w:r>
          <w:r w:rsidRPr="00022D22">
            <w:rPr>
              <w:color w:val="000000"/>
            </w:rPr>
            <w:fldChar w:fldCharType="begin"/>
          </w:r>
          <w:r w:rsidRPr="00022D22">
            <w:rPr>
              <w:color w:val="000000"/>
            </w:rPr>
            <w:instrText xml:space="preserve"> NUMPAGES </w:instrText>
          </w:r>
          <w:r w:rsidRPr="00022D22">
            <w:rPr>
              <w:color w:val="000000"/>
            </w:rPr>
            <w:fldChar w:fldCharType="separate"/>
          </w:r>
          <w:r w:rsidRPr="00022D22">
            <w:rPr>
              <w:color w:val="000000"/>
            </w:rPr>
            <w:t>21</w:t>
          </w:r>
          <w:r w:rsidRPr="00022D22">
            <w:rPr>
              <w:color w:val="000000"/>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D287" w14:textId="77777777" w:rsidR="00FC4E8D" w:rsidRPr="00022D22" w:rsidRDefault="00FC4E8D">
    <w:pPr>
      <w:spacing w:line="240" w:lineRule="exact"/>
    </w:pPr>
  </w:p>
  <w:tbl>
    <w:tblPr>
      <w:tblW w:w="0" w:type="auto"/>
      <w:tblLayout w:type="fixed"/>
      <w:tblLook w:val="04A0" w:firstRow="1" w:lastRow="0" w:firstColumn="1" w:lastColumn="0" w:noHBand="0" w:noVBand="1"/>
    </w:tblPr>
    <w:tblGrid>
      <w:gridCol w:w="5220"/>
      <w:gridCol w:w="4400"/>
    </w:tblGrid>
    <w:tr w:rsidR="00FC4E8D" w:rsidRPr="00022D22" w14:paraId="3F86D28A" w14:textId="77777777">
      <w:trPr>
        <w:trHeight w:val="245"/>
      </w:trPr>
      <w:tc>
        <w:tcPr>
          <w:tcW w:w="5220" w:type="dxa"/>
          <w:tcMar>
            <w:top w:w="0" w:type="dxa"/>
            <w:left w:w="0" w:type="dxa"/>
            <w:bottom w:w="0" w:type="dxa"/>
            <w:right w:w="0" w:type="dxa"/>
          </w:tcMar>
          <w:vAlign w:val="center"/>
        </w:tcPr>
        <w:p w14:paraId="3F86D288" w14:textId="77777777" w:rsidR="00FC4E8D" w:rsidRPr="00022D22" w:rsidRDefault="00D238AB">
          <w:pPr>
            <w:pStyle w:val="PiedDePage"/>
            <w:jc w:val="both"/>
            <w:rPr>
              <w:color w:val="000000"/>
            </w:rPr>
          </w:pPr>
          <w:r w:rsidRPr="00022D22">
            <w:rPr>
              <w:color w:val="000000"/>
            </w:rPr>
            <w:t>Consultation n°: 26MDNAUPA41</w:t>
          </w:r>
        </w:p>
      </w:tc>
      <w:tc>
        <w:tcPr>
          <w:tcW w:w="4400" w:type="dxa"/>
          <w:tcMar>
            <w:top w:w="0" w:type="dxa"/>
            <w:left w:w="0" w:type="dxa"/>
            <w:bottom w:w="0" w:type="dxa"/>
            <w:right w:w="0" w:type="dxa"/>
          </w:tcMar>
          <w:vAlign w:val="center"/>
        </w:tcPr>
        <w:p w14:paraId="3F86D289" w14:textId="77777777" w:rsidR="00FC4E8D" w:rsidRPr="00022D22" w:rsidRDefault="00D238AB">
          <w:pPr>
            <w:pStyle w:val="PiedDePage"/>
            <w:jc w:val="right"/>
            <w:rPr>
              <w:color w:val="000000"/>
            </w:rPr>
          </w:pPr>
          <w:r w:rsidRPr="00022D22">
            <w:rPr>
              <w:color w:val="000000"/>
            </w:rPr>
            <w:t xml:space="preserve">Page </w:t>
          </w:r>
          <w:r w:rsidRPr="00022D22">
            <w:rPr>
              <w:color w:val="000000"/>
            </w:rPr>
            <w:fldChar w:fldCharType="begin"/>
          </w:r>
          <w:r w:rsidRPr="00022D22">
            <w:rPr>
              <w:color w:val="000000"/>
            </w:rPr>
            <w:instrText xml:space="preserve"> PAGE </w:instrText>
          </w:r>
          <w:r w:rsidRPr="00022D22">
            <w:rPr>
              <w:color w:val="000000"/>
            </w:rPr>
            <w:fldChar w:fldCharType="separate"/>
          </w:r>
          <w:r w:rsidRPr="00022D22">
            <w:rPr>
              <w:color w:val="000000"/>
            </w:rPr>
            <w:t>15</w:t>
          </w:r>
          <w:r w:rsidRPr="00022D22">
            <w:rPr>
              <w:color w:val="000000"/>
            </w:rPr>
            <w:fldChar w:fldCharType="end"/>
          </w:r>
          <w:r w:rsidRPr="00022D22">
            <w:rPr>
              <w:color w:val="000000"/>
            </w:rPr>
            <w:t xml:space="preserve"> sur </w:t>
          </w:r>
          <w:r w:rsidRPr="00022D22">
            <w:rPr>
              <w:color w:val="000000"/>
            </w:rPr>
            <w:fldChar w:fldCharType="begin"/>
          </w:r>
          <w:r w:rsidRPr="00022D22">
            <w:rPr>
              <w:color w:val="000000"/>
            </w:rPr>
            <w:instrText xml:space="preserve"> NUMPAGES </w:instrText>
          </w:r>
          <w:r w:rsidRPr="00022D22">
            <w:rPr>
              <w:color w:val="000000"/>
            </w:rPr>
            <w:fldChar w:fldCharType="separate"/>
          </w:r>
          <w:r w:rsidRPr="00022D22">
            <w:rPr>
              <w:color w:val="000000"/>
            </w:rPr>
            <w:t>21</w:t>
          </w:r>
          <w:r w:rsidRPr="00022D22">
            <w:rPr>
              <w:color w:val="000000"/>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D28F" w14:textId="77777777" w:rsidR="00FC4E8D" w:rsidRPr="00022D22" w:rsidRDefault="00FC4E8D">
    <w:pPr>
      <w:spacing w:line="240" w:lineRule="exact"/>
    </w:pPr>
  </w:p>
  <w:tbl>
    <w:tblPr>
      <w:tblW w:w="0" w:type="auto"/>
      <w:tblLayout w:type="fixed"/>
      <w:tblLook w:val="04A0" w:firstRow="1" w:lastRow="0" w:firstColumn="1" w:lastColumn="0" w:noHBand="0" w:noVBand="1"/>
    </w:tblPr>
    <w:tblGrid>
      <w:gridCol w:w="5220"/>
      <w:gridCol w:w="4400"/>
    </w:tblGrid>
    <w:tr w:rsidR="00FC4E8D" w:rsidRPr="00022D22" w14:paraId="3F86D292" w14:textId="77777777">
      <w:trPr>
        <w:trHeight w:val="245"/>
      </w:trPr>
      <w:tc>
        <w:tcPr>
          <w:tcW w:w="5220" w:type="dxa"/>
          <w:tcMar>
            <w:top w:w="0" w:type="dxa"/>
            <w:left w:w="0" w:type="dxa"/>
            <w:bottom w:w="0" w:type="dxa"/>
            <w:right w:w="0" w:type="dxa"/>
          </w:tcMar>
          <w:vAlign w:val="center"/>
        </w:tcPr>
        <w:p w14:paraId="3F86D290" w14:textId="77777777" w:rsidR="00FC4E8D" w:rsidRPr="00022D22" w:rsidRDefault="00D238AB">
          <w:pPr>
            <w:pStyle w:val="PiedDePage"/>
            <w:jc w:val="both"/>
            <w:rPr>
              <w:color w:val="000000"/>
            </w:rPr>
          </w:pPr>
          <w:r w:rsidRPr="00022D22">
            <w:rPr>
              <w:color w:val="000000"/>
            </w:rPr>
            <w:t>Consultation n°: 26MDNAUPA41</w:t>
          </w:r>
        </w:p>
      </w:tc>
      <w:tc>
        <w:tcPr>
          <w:tcW w:w="4400" w:type="dxa"/>
          <w:tcMar>
            <w:top w:w="0" w:type="dxa"/>
            <w:left w:w="0" w:type="dxa"/>
            <w:bottom w:w="0" w:type="dxa"/>
            <w:right w:w="0" w:type="dxa"/>
          </w:tcMar>
          <w:vAlign w:val="center"/>
        </w:tcPr>
        <w:p w14:paraId="3F86D291" w14:textId="77777777" w:rsidR="00FC4E8D" w:rsidRPr="00022D22" w:rsidRDefault="00D238AB">
          <w:pPr>
            <w:pStyle w:val="PiedDePage"/>
            <w:jc w:val="right"/>
            <w:rPr>
              <w:color w:val="000000"/>
            </w:rPr>
          </w:pPr>
          <w:r w:rsidRPr="00022D22">
            <w:rPr>
              <w:color w:val="000000"/>
            </w:rPr>
            <w:t xml:space="preserve">Page </w:t>
          </w:r>
          <w:r w:rsidRPr="00022D22">
            <w:rPr>
              <w:color w:val="000000"/>
            </w:rPr>
            <w:fldChar w:fldCharType="begin"/>
          </w:r>
          <w:r w:rsidRPr="00022D22">
            <w:rPr>
              <w:color w:val="000000"/>
            </w:rPr>
            <w:instrText xml:space="preserve"> PAGE </w:instrText>
          </w:r>
          <w:r w:rsidRPr="00022D22">
            <w:rPr>
              <w:color w:val="000000"/>
            </w:rPr>
            <w:fldChar w:fldCharType="separate"/>
          </w:r>
          <w:r w:rsidRPr="00022D22">
            <w:rPr>
              <w:color w:val="000000"/>
            </w:rPr>
            <w:t>18</w:t>
          </w:r>
          <w:r w:rsidRPr="00022D22">
            <w:rPr>
              <w:color w:val="000000"/>
            </w:rPr>
            <w:fldChar w:fldCharType="end"/>
          </w:r>
          <w:r w:rsidRPr="00022D22">
            <w:rPr>
              <w:color w:val="000000"/>
            </w:rPr>
            <w:t xml:space="preserve"> sur </w:t>
          </w:r>
          <w:r w:rsidRPr="00022D22">
            <w:rPr>
              <w:color w:val="000000"/>
            </w:rPr>
            <w:fldChar w:fldCharType="begin"/>
          </w:r>
          <w:r w:rsidRPr="00022D22">
            <w:rPr>
              <w:color w:val="000000"/>
            </w:rPr>
            <w:instrText xml:space="preserve"> NUMPAGES </w:instrText>
          </w:r>
          <w:r w:rsidRPr="00022D22">
            <w:rPr>
              <w:color w:val="000000"/>
            </w:rPr>
            <w:fldChar w:fldCharType="separate"/>
          </w:r>
          <w:r w:rsidRPr="00022D22">
            <w:rPr>
              <w:color w:val="000000"/>
            </w:rPr>
            <w:t>21</w:t>
          </w:r>
          <w:r w:rsidRPr="00022D22">
            <w:rPr>
              <w:color w:val="000000"/>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D297" w14:textId="77777777" w:rsidR="00FC4E8D" w:rsidRPr="00022D22" w:rsidRDefault="00FC4E8D">
    <w:pPr>
      <w:spacing w:line="240" w:lineRule="exact"/>
    </w:pPr>
  </w:p>
  <w:tbl>
    <w:tblPr>
      <w:tblW w:w="0" w:type="auto"/>
      <w:tblLayout w:type="fixed"/>
      <w:tblLook w:val="04A0" w:firstRow="1" w:lastRow="0" w:firstColumn="1" w:lastColumn="0" w:noHBand="0" w:noVBand="1"/>
    </w:tblPr>
    <w:tblGrid>
      <w:gridCol w:w="5220"/>
      <w:gridCol w:w="4400"/>
    </w:tblGrid>
    <w:tr w:rsidR="00FC4E8D" w:rsidRPr="00022D22" w14:paraId="3F86D29A" w14:textId="77777777">
      <w:trPr>
        <w:trHeight w:val="245"/>
      </w:trPr>
      <w:tc>
        <w:tcPr>
          <w:tcW w:w="5220" w:type="dxa"/>
          <w:tcMar>
            <w:top w:w="0" w:type="dxa"/>
            <w:left w:w="0" w:type="dxa"/>
            <w:bottom w:w="0" w:type="dxa"/>
            <w:right w:w="0" w:type="dxa"/>
          </w:tcMar>
          <w:vAlign w:val="center"/>
        </w:tcPr>
        <w:p w14:paraId="3F86D298" w14:textId="77777777" w:rsidR="00FC4E8D" w:rsidRPr="00022D22" w:rsidRDefault="00D238AB">
          <w:pPr>
            <w:pStyle w:val="PiedDePage"/>
            <w:jc w:val="both"/>
            <w:rPr>
              <w:color w:val="000000"/>
            </w:rPr>
          </w:pPr>
          <w:r w:rsidRPr="00022D22">
            <w:rPr>
              <w:color w:val="000000"/>
            </w:rPr>
            <w:t>Consultation n°: 26MDNAUPA41</w:t>
          </w:r>
        </w:p>
      </w:tc>
      <w:tc>
        <w:tcPr>
          <w:tcW w:w="4400" w:type="dxa"/>
          <w:tcMar>
            <w:top w:w="0" w:type="dxa"/>
            <w:left w:w="0" w:type="dxa"/>
            <w:bottom w:w="0" w:type="dxa"/>
            <w:right w:w="0" w:type="dxa"/>
          </w:tcMar>
          <w:vAlign w:val="center"/>
        </w:tcPr>
        <w:p w14:paraId="3F86D299" w14:textId="77777777" w:rsidR="00FC4E8D" w:rsidRPr="00022D22" w:rsidRDefault="00D238AB">
          <w:pPr>
            <w:pStyle w:val="PiedDePage"/>
            <w:jc w:val="right"/>
            <w:rPr>
              <w:color w:val="000000"/>
            </w:rPr>
          </w:pPr>
          <w:r w:rsidRPr="00022D22">
            <w:rPr>
              <w:color w:val="000000"/>
            </w:rPr>
            <w:t xml:space="preserve">Page </w:t>
          </w:r>
          <w:r w:rsidRPr="00022D22">
            <w:rPr>
              <w:color w:val="000000"/>
            </w:rPr>
            <w:fldChar w:fldCharType="begin"/>
          </w:r>
          <w:r w:rsidRPr="00022D22">
            <w:rPr>
              <w:color w:val="000000"/>
            </w:rPr>
            <w:instrText xml:space="preserve"> PAGE </w:instrText>
          </w:r>
          <w:r w:rsidRPr="00022D22">
            <w:rPr>
              <w:color w:val="000000"/>
            </w:rPr>
            <w:fldChar w:fldCharType="separate"/>
          </w:r>
          <w:r w:rsidRPr="00022D22">
            <w:rPr>
              <w:color w:val="000000"/>
            </w:rPr>
            <w:t>21</w:t>
          </w:r>
          <w:r w:rsidRPr="00022D22">
            <w:rPr>
              <w:color w:val="000000"/>
            </w:rPr>
            <w:fldChar w:fldCharType="end"/>
          </w:r>
          <w:r w:rsidRPr="00022D22">
            <w:rPr>
              <w:color w:val="000000"/>
            </w:rPr>
            <w:t xml:space="preserve"> sur </w:t>
          </w:r>
          <w:r w:rsidRPr="00022D22">
            <w:rPr>
              <w:color w:val="000000"/>
            </w:rPr>
            <w:fldChar w:fldCharType="begin"/>
          </w:r>
          <w:r w:rsidRPr="00022D22">
            <w:rPr>
              <w:color w:val="000000"/>
            </w:rPr>
            <w:instrText xml:space="preserve"> NUMPAGES </w:instrText>
          </w:r>
          <w:r w:rsidRPr="00022D22">
            <w:rPr>
              <w:color w:val="000000"/>
            </w:rPr>
            <w:fldChar w:fldCharType="separate"/>
          </w:r>
          <w:r w:rsidRPr="00022D22">
            <w:rPr>
              <w:color w:val="000000"/>
            </w:rPr>
            <w:t>21</w:t>
          </w:r>
          <w:r w:rsidRPr="00022D22">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967DA" w14:textId="77777777" w:rsidR="001C0864" w:rsidRPr="00022D22" w:rsidRDefault="001C0864">
      <w:r w:rsidRPr="00022D22">
        <w:separator/>
      </w:r>
    </w:p>
  </w:footnote>
  <w:footnote w:type="continuationSeparator" w:id="0">
    <w:p w14:paraId="4A52C8AA" w14:textId="77777777" w:rsidR="001C0864" w:rsidRPr="00022D22" w:rsidRDefault="001C0864">
      <w:r w:rsidRPr="00022D2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FC4E8D"/>
    <w:rsid w:val="00007D4A"/>
    <w:rsid w:val="00022D22"/>
    <w:rsid w:val="00032839"/>
    <w:rsid w:val="000369D5"/>
    <w:rsid w:val="000563DD"/>
    <w:rsid w:val="0007785C"/>
    <w:rsid w:val="000979CC"/>
    <w:rsid w:val="000C3EED"/>
    <w:rsid w:val="001B22A4"/>
    <w:rsid w:val="001B2EBA"/>
    <w:rsid w:val="001C0864"/>
    <w:rsid w:val="001C63D3"/>
    <w:rsid w:val="001D77F1"/>
    <w:rsid w:val="00200F7D"/>
    <w:rsid w:val="0020105F"/>
    <w:rsid w:val="00207B19"/>
    <w:rsid w:val="002641B6"/>
    <w:rsid w:val="00291806"/>
    <w:rsid w:val="002C732D"/>
    <w:rsid w:val="0034228E"/>
    <w:rsid w:val="0038317F"/>
    <w:rsid w:val="00395E4B"/>
    <w:rsid w:val="004A5C22"/>
    <w:rsid w:val="004D5D36"/>
    <w:rsid w:val="004E4B25"/>
    <w:rsid w:val="00527ABE"/>
    <w:rsid w:val="00537328"/>
    <w:rsid w:val="00602067"/>
    <w:rsid w:val="0064600C"/>
    <w:rsid w:val="006771AA"/>
    <w:rsid w:val="00691F2C"/>
    <w:rsid w:val="006A2ED3"/>
    <w:rsid w:val="00725E99"/>
    <w:rsid w:val="0074551A"/>
    <w:rsid w:val="007B1916"/>
    <w:rsid w:val="007D08F2"/>
    <w:rsid w:val="007F3A00"/>
    <w:rsid w:val="00834144"/>
    <w:rsid w:val="008E3AFC"/>
    <w:rsid w:val="008E5635"/>
    <w:rsid w:val="0092016E"/>
    <w:rsid w:val="009217EA"/>
    <w:rsid w:val="0094388D"/>
    <w:rsid w:val="0096761D"/>
    <w:rsid w:val="0099694C"/>
    <w:rsid w:val="009A4024"/>
    <w:rsid w:val="00A5624C"/>
    <w:rsid w:val="00A744D2"/>
    <w:rsid w:val="00A8475F"/>
    <w:rsid w:val="00B00BA8"/>
    <w:rsid w:val="00BB46CE"/>
    <w:rsid w:val="00BD6C57"/>
    <w:rsid w:val="00BD7F07"/>
    <w:rsid w:val="00BD7F11"/>
    <w:rsid w:val="00C2222A"/>
    <w:rsid w:val="00C4707F"/>
    <w:rsid w:val="00C75D54"/>
    <w:rsid w:val="00C91597"/>
    <w:rsid w:val="00CB3901"/>
    <w:rsid w:val="00CB5A7F"/>
    <w:rsid w:val="00CD409E"/>
    <w:rsid w:val="00CD4A0F"/>
    <w:rsid w:val="00CD5787"/>
    <w:rsid w:val="00D238AB"/>
    <w:rsid w:val="00D37389"/>
    <w:rsid w:val="00D755CA"/>
    <w:rsid w:val="00D86D1B"/>
    <w:rsid w:val="00DA5CC8"/>
    <w:rsid w:val="00DD1F56"/>
    <w:rsid w:val="00DE51F4"/>
    <w:rsid w:val="00E1642A"/>
    <w:rsid w:val="00E714D9"/>
    <w:rsid w:val="00EA189A"/>
    <w:rsid w:val="00EA1F17"/>
    <w:rsid w:val="00EA69C7"/>
    <w:rsid w:val="00EB118F"/>
    <w:rsid w:val="00ED227F"/>
    <w:rsid w:val="00EF4967"/>
    <w:rsid w:val="00FC4E8D"/>
    <w:rsid w:val="00FC6C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6D096"/>
  <w15:docId w15:val="{74ABFDEB-9109-486C-9E2D-8E2B5F93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tableCH">
    <w:name w:val="table CH"/>
    <w:basedOn w:val="Normal"/>
    <w:next w:val="Normal"/>
    <w:qFormat/>
    <w:rPr>
      <w:rFonts w:ascii="Century Gothic" w:eastAsia="Century Gothic" w:hAnsi="Century Gothic" w:cs="Century Gothic"/>
      <w:b/>
      <w:sz w:val="22"/>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2C732D"/>
    <w:rPr>
      <w:color w:val="605E5C"/>
      <w:shd w:val="clear" w:color="auto" w:fill="E1DFDD"/>
    </w:rPr>
  </w:style>
  <w:style w:type="paragraph" w:styleId="En-tte">
    <w:name w:val="header"/>
    <w:basedOn w:val="Normal"/>
    <w:link w:val="En-tteCar"/>
    <w:rsid w:val="00A744D2"/>
    <w:pPr>
      <w:tabs>
        <w:tab w:val="center" w:pos="4536"/>
        <w:tab w:val="right" w:pos="9072"/>
      </w:tabs>
    </w:pPr>
  </w:style>
  <w:style w:type="character" w:customStyle="1" w:styleId="En-tteCar">
    <w:name w:val="En-tête Car"/>
    <w:basedOn w:val="Policepardfaut"/>
    <w:link w:val="En-tte"/>
    <w:rsid w:val="00A744D2"/>
    <w:rPr>
      <w:sz w:val="24"/>
      <w:szCs w:val="24"/>
    </w:rPr>
  </w:style>
  <w:style w:type="paragraph" w:styleId="Pieddepage0">
    <w:name w:val="footer"/>
    <w:basedOn w:val="Normal"/>
    <w:link w:val="PieddepageCar"/>
    <w:rsid w:val="00A744D2"/>
    <w:pPr>
      <w:tabs>
        <w:tab w:val="center" w:pos="4536"/>
        <w:tab w:val="right" w:pos="9072"/>
      </w:tabs>
    </w:pPr>
  </w:style>
  <w:style w:type="character" w:customStyle="1" w:styleId="PieddepageCar">
    <w:name w:val="Pied de page Car"/>
    <w:basedOn w:val="Policepardfaut"/>
    <w:link w:val="Pieddepage0"/>
    <w:rsid w:val="00A744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cyber.gouv.fr/obtenir-un-certificat-de-signature-electronique"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FED2879BF643A71F77543BC03E29" ma:contentTypeVersion="14" ma:contentTypeDescription="Create a new document." ma:contentTypeScope="" ma:versionID="68b6a4d3e474540adf9b3988ae4f993f">
  <xsd:schema xmlns:xsd="http://www.w3.org/2001/XMLSchema" xmlns:xs="http://www.w3.org/2001/XMLSchema" xmlns:p="http://schemas.microsoft.com/office/2006/metadata/properties" xmlns:ns2="af0864c8-c37c-49c8-b3d7-9be69da4c7a9" xmlns:ns3="a35134a4-4619-49ca-a77f-092bc80b6f9d" targetNamespace="http://schemas.microsoft.com/office/2006/metadata/properties" ma:root="true" ma:fieldsID="5c2d2f45f2d86fe02accc62b5dad0dba" ns2:_="" ns3:_="">
    <xsd:import namespace="af0864c8-c37c-49c8-b3d7-9be69da4c7a9"/>
    <xsd:import namespace="a35134a4-4619-49ca-a77f-092bc80b6f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864c8-c37c-49c8-b3d7-9be69da4c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31b9ca-a247-4414-b479-06ee6a7f14a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134a4-4619-49ca-a77f-092bc80b6f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570b90-8ede-42f7-b19f-763212a0ab20}" ma:internalName="TaxCatchAll" ma:showField="CatchAllData" ma:web="a35134a4-4619-49ca-a77f-092bc80b6f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5134a4-4619-49ca-a77f-092bc80b6f9d" xsi:nil="true"/>
    <lcf76f155ced4ddcb4097134ff3c332f xmlns="af0864c8-c37c-49c8-b3d7-9be69da4c7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FA706C-E964-467A-A38F-5304345C6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864c8-c37c-49c8-b3d7-9be69da4c7a9"/>
    <ds:schemaRef ds:uri="a35134a4-4619-49ca-a77f-092bc80b6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BAA30A-6420-4D3E-BE12-89EA54CFE366}">
  <ds:schemaRefs>
    <ds:schemaRef ds:uri="http://schemas.microsoft.com/sharepoint/v3/contenttype/forms"/>
  </ds:schemaRefs>
</ds:datastoreItem>
</file>

<file path=customXml/itemProps3.xml><?xml version="1.0" encoding="utf-8"?>
<ds:datastoreItem xmlns:ds="http://schemas.openxmlformats.org/officeDocument/2006/customXml" ds:itemID="{5DC60F49-8C3C-4422-84B9-FDDF46DC025D}">
  <ds:schemaRefs>
    <ds:schemaRef ds:uri="http://schemas.microsoft.com/office/2006/metadata/properties"/>
    <ds:schemaRef ds:uri="http://schemas.microsoft.com/office/infopath/2007/PartnerControls"/>
    <ds:schemaRef ds:uri="a35134a4-4619-49ca-a77f-092bc80b6f9d"/>
    <ds:schemaRef ds:uri="af0864c8-c37c-49c8-b3d7-9be69da4c7a9"/>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4382</Words>
  <Characters>24104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SERRA Eva</cp:lastModifiedBy>
  <cp:revision>72</cp:revision>
  <cp:lastPrinted>2026-10-12T07:19:00Z</cp:lastPrinted>
  <dcterms:created xsi:type="dcterms:W3CDTF">2026-09-29T13:28:00Z</dcterms:created>
  <dcterms:modified xsi:type="dcterms:W3CDTF">2026-10-15T09:18:00Z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0x010100F5B7FED2879BF643A71F77543BC03E29</vt:lpwstr>
  </property>
  <property fmtid="{D5CDD505-2E9C-101B-9397-08002B2CF9AE}" pid="3" name="MediaServiceImageTags">
    <vt:lpwstr/>
  </property>
</Properties>
</file>