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1D5" w:rsidRPr="006B4CDB" w:rsidRDefault="006B4CDB" w:rsidP="006B4CDB">
      <w:pPr>
        <w:pStyle w:val="Titre2"/>
        <w:ind w:right="-142"/>
        <w:jc w:val="center"/>
        <w:rPr>
          <w:b w:val="0"/>
          <w:bCs w:val="0"/>
          <w:sz w:val="22"/>
          <w:szCs w:val="22"/>
        </w:rPr>
      </w:pPr>
      <w:r w:rsidRPr="006B4CDB">
        <w:rPr>
          <w:rFonts w:ascii="Calibri" w:hAnsi="Calibri"/>
          <w:b w:val="0"/>
          <w:i w:val="0"/>
          <w:noProof/>
          <w:sz w:val="18"/>
          <w:szCs w:val="18"/>
        </w:rPr>
        <w:drawing>
          <wp:inline distT="0" distB="0" distL="0" distR="0">
            <wp:extent cx="946150" cy="1033780"/>
            <wp:effectExtent l="0" t="0" r="6350" b="0"/>
            <wp:docPr id="1" name="Image 1" descr="B+_logo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_logo_20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6150" cy="1033780"/>
                    </a:xfrm>
                    <a:prstGeom prst="rect">
                      <a:avLst/>
                    </a:prstGeom>
                    <a:noFill/>
                    <a:ln>
                      <a:noFill/>
                    </a:ln>
                  </pic:spPr>
                </pic:pic>
              </a:graphicData>
            </a:graphic>
          </wp:inline>
        </w:drawing>
      </w:r>
    </w:p>
    <w:p w:rsidR="008B5442" w:rsidRDefault="004510CE" w:rsidP="008B5442">
      <w:pPr>
        <w:pStyle w:val="Titre2"/>
        <w:tabs>
          <w:tab w:val="left" w:pos="5640"/>
        </w:tabs>
        <w:spacing w:before="0" w:after="0"/>
        <w:ind w:right="-142"/>
        <w:jc w:val="both"/>
        <w:rPr>
          <w:sz w:val="16"/>
          <w:szCs w:val="16"/>
        </w:rPr>
      </w:pPr>
      <w:r>
        <w:rPr>
          <w:sz w:val="16"/>
          <w:szCs w:val="16"/>
        </w:rPr>
        <w:t xml:space="preserve">DIRECTION </w:t>
      </w:r>
      <w:r w:rsidR="008B5442">
        <w:rPr>
          <w:sz w:val="16"/>
          <w:szCs w:val="16"/>
        </w:rPr>
        <w:t>ENVIRONNEMENT</w:t>
      </w:r>
    </w:p>
    <w:p w:rsidR="006C21D5" w:rsidRDefault="008B5442" w:rsidP="008B5442">
      <w:pPr>
        <w:pStyle w:val="Titre2"/>
        <w:tabs>
          <w:tab w:val="left" w:pos="5640"/>
        </w:tabs>
        <w:spacing w:before="0" w:after="0"/>
        <w:ind w:right="-142"/>
        <w:jc w:val="both"/>
        <w:rPr>
          <w:b w:val="0"/>
          <w:bCs w:val="0"/>
          <w:sz w:val="22"/>
          <w:szCs w:val="22"/>
        </w:rPr>
      </w:pPr>
      <w:r>
        <w:rPr>
          <w:sz w:val="16"/>
          <w:szCs w:val="16"/>
        </w:rPr>
        <w:t>ET DEVELOPPEMENT DURABLE</w:t>
      </w:r>
      <w:r w:rsidR="004510CE">
        <w:rPr>
          <w:sz w:val="16"/>
          <w:szCs w:val="16"/>
        </w:rPr>
        <w:tab/>
      </w:r>
    </w:p>
    <w:p w:rsidR="006C21D5" w:rsidRDefault="004510CE" w:rsidP="008B5442">
      <w:pPr>
        <w:ind w:right="-142"/>
        <w:jc w:val="both"/>
        <w:rPr>
          <w:rFonts w:cs="Arial"/>
          <w:sz w:val="16"/>
          <w:szCs w:val="16"/>
        </w:rPr>
      </w:pPr>
      <w:r>
        <w:rPr>
          <w:rFonts w:cs="Arial"/>
          <w:sz w:val="16"/>
          <w:szCs w:val="16"/>
        </w:rPr>
        <w:t xml:space="preserve">Affaire suivie par </w:t>
      </w:r>
      <w:r w:rsidR="008B5442">
        <w:rPr>
          <w:rFonts w:cs="Arial"/>
          <w:sz w:val="16"/>
          <w:szCs w:val="16"/>
        </w:rPr>
        <w:t>Anthony FRISON</w:t>
      </w:r>
    </w:p>
    <w:p w:rsidR="006C21D5" w:rsidRDefault="00A150AE" w:rsidP="008B5442">
      <w:pPr>
        <w:ind w:right="-142"/>
        <w:jc w:val="both"/>
        <w:rPr>
          <w:rFonts w:cs="Arial"/>
          <w:sz w:val="16"/>
          <w:szCs w:val="16"/>
        </w:rPr>
      </w:pPr>
      <w:hyperlink r:id="rId8" w:history="1">
        <w:r w:rsidR="008B5442" w:rsidRPr="00F051EC">
          <w:rPr>
            <w:rStyle w:val="Lienhypertexte"/>
            <w:rFonts w:cs="Arial"/>
            <w:sz w:val="16"/>
            <w:szCs w:val="16"/>
          </w:rPr>
          <w:t>anthony.frison@agglo-bourgesplus.fr</w:t>
        </w:r>
      </w:hyperlink>
    </w:p>
    <w:p w:rsidR="008B5442" w:rsidRDefault="008B5442" w:rsidP="008B5442">
      <w:pPr>
        <w:ind w:right="-142"/>
        <w:jc w:val="both"/>
        <w:rPr>
          <w:rFonts w:cs="Arial"/>
          <w:sz w:val="16"/>
          <w:szCs w:val="16"/>
        </w:rPr>
      </w:pPr>
    </w:p>
    <w:p w:rsidR="006C21D5" w:rsidRDefault="004510CE" w:rsidP="006B4CDB">
      <w:pPr>
        <w:ind w:right="-142"/>
        <w:jc w:val="both"/>
        <w:rPr>
          <w:rFonts w:cs="Arial"/>
          <w:sz w:val="16"/>
          <w:szCs w:val="16"/>
        </w:rPr>
      </w:pPr>
      <w:r>
        <w:rPr>
          <w:rFonts w:cs="Arial"/>
          <w:sz w:val="16"/>
          <w:szCs w:val="16"/>
        </w:rPr>
        <w:tab/>
      </w:r>
    </w:p>
    <w:p w:rsidR="006C21D5" w:rsidRDefault="004510CE" w:rsidP="006B4CDB">
      <w:pPr>
        <w:ind w:right="-142"/>
        <w:jc w:val="both"/>
        <w:rPr>
          <w:sz w:val="22"/>
          <w:szCs w:val="22"/>
        </w:rPr>
      </w:pPr>
      <w:r>
        <w:rPr>
          <w:rFonts w:cs="Arial"/>
          <w:sz w:val="16"/>
          <w:szCs w:val="16"/>
        </w:rPr>
        <w:tab/>
      </w:r>
      <w:r>
        <w:rPr>
          <w:b/>
          <w:sz w:val="22"/>
          <w:szCs w:val="22"/>
        </w:rPr>
        <w:tab/>
      </w:r>
      <w:r>
        <w:rPr>
          <w:b/>
          <w:sz w:val="22"/>
          <w:szCs w:val="22"/>
        </w:rPr>
        <w:tab/>
        <w:t xml:space="preserve"> </w:t>
      </w:r>
      <w:r>
        <w:rPr>
          <w:sz w:val="22"/>
          <w:szCs w:val="22"/>
        </w:rPr>
        <w:tab/>
      </w:r>
    </w:p>
    <w:p w:rsidR="006C21D5" w:rsidRDefault="006C21D5" w:rsidP="008B5442">
      <w:pPr>
        <w:tabs>
          <w:tab w:val="left" w:pos="851"/>
          <w:tab w:val="left" w:pos="4820"/>
        </w:tabs>
        <w:ind w:right="-142"/>
        <w:jc w:val="both"/>
        <w:rPr>
          <w:sz w:val="22"/>
          <w:szCs w:val="22"/>
        </w:rPr>
      </w:pPr>
    </w:p>
    <w:p w:rsidR="006C21D5" w:rsidRDefault="004510CE" w:rsidP="008B5442">
      <w:pPr>
        <w:tabs>
          <w:tab w:val="left" w:pos="4536"/>
        </w:tabs>
        <w:ind w:right="-142"/>
        <w:jc w:val="both"/>
        <w:rPr>
          <w:sz w:val="22"/>
          <w:szCs w:val="22"/>
        </w:rPr>
      </w:pPr>
      <w:r>
        <w:rPr>
          <w:b/>
          <w:sz w:val="22"/>
          <w:szCs w:val="22"/>
          <w:u w:val="single"/>
        </w:rPr>
        <w:t>OBJET</w:t>
      </w:r>
      <w:r>
        <w:rPr>
          <w:b/>
          <w:sz w:val="22"/>
          <w:szCs w:val="22"/>
        </w:rPr>
        <w:t> : Marché passé selon la procédure adaptée</w:t>
      </w:r>
      <w:r>
        <w:rPr>
          <w:color w:val="FF0000"/>
          <w:sz w:val="22"/>
          <w:szCs w:val="22"/>
        </w:rPr>
        <w:t xml:space="preserve"> </w:t>
      </w:r>
      <w:r>
        <w:rPr>
          <w:sz w:val="22"/>
          <w:szCs w:val="22"/>
        </w:rPr>
        <w:t>(</w:t>
      </w:r>
      <w:r>
        <w:rPr>
          <w:rFonts w:cs="Arial"/>
          <w:szCs w:val="22"/>
        </w:rPr>
        <w:t>articles L. 2123-1 et R. 2123-1 1° du Code de la commande publique</w:t>
      </w:r>
      <w:r>
        <w:rPr>
          <w:szCs w:val="22"/>
        </w:rPr>
        <w:t>)</w:t>
      </w:r>
    </w:p>
    <w:p w:rsidR="006C21D5" w:rsidRDefault="006C21D5" w:rsidP="008B5442">
      <w:pPr>
        <w:tabs>
          <w:tab w:val="left" w:pos="851"/>
          <w:tab w:val="left" w:pos="4820"/>
        </w:tabs>
        <w:ind w:right="-142"/>
        <w:jc w:val="both"/>
        <w:rPr>
          <w:sz w:val="22"/>
          <w:szCs w:val="22"/>
        </w:rPr>
      </w:pPr>
    </w:p>
    <w:p w:rsidR="006C21D5" w:rsidRDefault="004510CE" w:rsidP="008B5442">
      <w:pPr>
        <w:tabs>
          <w:tab w:val="left" w:pos="4536"/>
        </w:tabs>
        <w:ind w:right="-142"/>
        <w:jc w:val="both"/>
        <w:rPr>
          <w:sz w:val="22"/>
          <w:szCs w:val="22"/>
        </w:rPr>
      </w:pPr>
      <w:r>
        <w:rPr>
          <w:sz w:val="22"/>
          <w:szCs w:val="22"/>
        </w:rPr>
        <w:t xml:space="preserve">La Communauté d’Agglomération de Bourges vous sollicite dans le cadre d’une mise en concurrence : </w:t>
      </w:r>
    </w:p>
    <w:p w:rsidR="006C21D5" w:rsidRDefault="006C21D5" w:rsidP="008B5442">
      <w:pPr>
        <w:tabs>
          <w:tab w:val="left" w:pos="4536"/>
        </w:tabs>
        <w:ind w:right="-142"/>
        <w:jc w:val="both"/>
        <w:rPr>
          <w:sz w:val="22"/>
          <w:szCs w:val="22"/>
        </w:rPr>
      </w:pPr>
    </w:p>
    <w:p w:rsidR="006C21D5" w:rsidRPr="006B4CDB" w:rsidRDefault="004510CE" w:rsidP="008B5442">
      <w:pPr>
        <w:tabs>
          <w:tab w:val="left" w:pos="4536"/>
        </w:tabs>
        <w:ind w:right="-142"/>
        <w:jc w:val="both"/>
        <w:rPr>
          <w:b/>
          <w:sz w:val="24"/>
          <w:szCs w:val="24"/>
        </w:rPr>
      </w:pPr>
      <w:r>
        <w:rPr>
          <w:b/>
          <w:sz w:val="24"/>
          <w:szCs w:val="24"/>
        </w:rPr>
        <w:t xml:space="preserve">Objet de la consultation : </w:t>
      </w:r>
      <w:r w:rsidR="00787E06">
        <w:rPr>
          <w:b/>
          <w:sz w:val="24"/>
          <w:szCs w:val="24"/>
        </w:rPr>
        <w:t>ACCOMPAGNEMENT POUR LA REVISION DU PLAN CLIMAT AIR ENERGIE TERRITORIAL (PCAET) DE LA COMMUNAUTE D’AGGLOMERATION DE BOURGES</w:t>
      </w:r>
      <w:r>
        <w:rPr>
          <w:sz w:val="22"/>
          <w:szCs w:val="22"/>
        </w:rPr>
        <w:tab/>
      </w:r>
      <w:r>
        <w:rPr>
          <w:color w:val="FF0000"/>
          <w:sz w:val="22"/>
          <w:szCs w:val="22"/>
        </w:rPr>
        <w:t xml:space="preserve"> </w:t>
      </w:r>
      <w:r>
        <w:rPr>
          <w:color w:val="FF0000"/>
          <w:sz w:val="22"/>
          <w:szCs w:val="22"/>
        </w:rPr>
        <w:tab/>
      </w:r>
    </w:p>
    <w:p w:rsidR="006C21D5" w:rsidRDefault="006C21D5" w:rsidP="008B5442">
      <w:pPr>
        <w:tabs>
          <w:tab w:val="left" w:pos="4536"/>
        </w:tabs>
        <w:ind w:right="-142"/>
        <w:jc w:val="both"/>
        <w:rPr>
          <w:sz w:val="22"/>
          <w:szCs w:val="22"/>
        </w:rPr>
      </w:pPr>
    </w:p>
    <w:p w:rsidR="006C21D5" w:rsidRDefault="004510CE" w:rsidP="008B5442">
      <w:pPr>
        <w:tabs>
          <w:tab w:val="left" w:pos="4536"/>
        </w:tabs>
        <w:ind w:right="-142"/>
        <w:jc w:val="both"/>
        <w:rPr>
          <w:sz w:val="22"/>
          <w:szCs w:val="22"/>
        </w:rPr>
      </w:pPr>
      <w:r>
        <w:rPr>
          <w:sz w:val="22"/>
          <w:szCs w:val="22"/>
          <w:u w:val="single"/>
        </w:rPr>
        <w:t>Pouvoir adjudicateur</w:t>
      </w:r>
      <w:r>
        <w:rPr>
          <w:sz w:val="22"/>
          <w:szCs w:val="22"/>
        </w:rPr>
        <w:t> : Communauté d’Agglomération de Bourges</w:t>
      </w:r>
    </w:p>
    <w:p w:rsidR="006C21D5" w:rsidRDefault="006C21D5" w:rsidP="008B5442">
      <w:pPr>
        <w:tabs>
          <w:tab w:val="left" w:pos="4536"/>
        </w:tabs>
        <w:ind w:right="-142"/>
        <w:jc w:val="both"/>
        <w:rPr>
          <w:sz w:val="22"/>
          <w:szCs w:val="22"/>
        </w:rPr>
      </w:pPr>
    </w:p>
    <w:p w:rsidR="006C21D5" w:rsidRDefault="004510CE" w:rsidP="008B5442">
      <w:pPr>
        <w:tabs>
          <w:tab w:val="left" w:pos="4536"/>
        </w:tabs>
        <w:ind w:right="-142"/>
        <w:jc w:val="both"/>
        <w:rPr>
          <w:sz w:val="22"/>
          <w:szCs w:val="22"/>
        </w:rPr>
      </w:pPr>
      <w:r>
        <w:rPr>
          <w:sz w:val="22"/>
          <w:szCs w:val="22"/>
          <w:u w:val="single"/>
        </w:rPr>
        <w:t>Comptable assignataire des paiements</w:t>
      </w:r>
      <w:r>
        <w:rPr>
          <w:sz w:val="22"/>
          <w:szCs w:val="22"/>
        </w:rPr>
        <w:t> : Comptable Public de Bourges Municipale</w:t>
      </w:r>
    </w:p>
    <w:p w:rsidR="006C21D5" w:rsidRDefault="006C21D5" w:rsidP="008B5442">
      <w:pPr>
        <w:tabs>
          <w:tab w:val="left" w:pos="4536"/>
        </w:tabs>
        <w:ind w:right="-142"/>
        <w:jc w:val="both"/>
        <w:rPr>
          <w:sz w:val="22"/>
          <w:szCs w:val="22"/>
        </w:rPr>
      </w:pPr>
    </w:p>
    <w:p w:rsidR="006C21D5" w:rsidRDefault="004510CE" w:rsidP="008B5442">
      <w:pPr>
        <w:tabs>
          <w:tab w:val="left" w:pos="4536"/>
        </w:tabs>
        <w:ind w:right="-142"/>
        <w:jc w:val="both"/>
        <w:rPr>
          <w:sz w:val="22"/>
          <w:szCs w:val="22"/>
        </w:rPr>
      </w:pPr>
      <w:r>
        <w:rPr>
          <w:sz w:val="22"/>
          <w:szCs w:val="22"/>
          <w:u w:val="single"/>
        </w:rPr>
        <w:t>Pièces constitutives du marché</w:t>
      </w:r>
      <w:r>
        <w:rPr>
          <w:sz w:val="22"/>
          <w:szCs w:val="22"/>
        </w:rPr>
        <w:t> :</w:t>
      </w:r>
    </w:p>
    <w:p w:rsidR="00180FF9" w:rsidRDefault="00180FF9" w:rsidP="008B5442">
      <w:pPr>
        <w:numPr>
          <w:ilvl w:val="0"/>
          <w:numId w:val="1"/>
        </w:numPr>
        <w:tabs>
          <w:tab w:val="left" w:pos="4536"/>
        </w:tabs>
        <w:ind w:right="-142"/>
        <w:jc w:val="both"/>
        <w:rPr>
          <w:sz w:val="22"/>
          <w:szCs w:val="22"/>
        </w:rPr>
      </w:pPr>
      <w:r>
        <w:rPr>
          <w:sz w:val="22"/>
          <w:szCs w:val="22"/>
        </w:rPr>
        <w:t>Acte d’engagement</w:t>
      </w:r>
    </w:p>
    <w:p w:rsidR="006C21D5" w:rsidRDefault="004510CE" w:rsidP="008B5442">
      <w:pPr>
        <w:numPr>
          <w:ilvl w:val="0"/>
          <w:numId w:val="1"/>
        </w:numPr>
        <w:tabs>
          <w:tab w:val="left" w:pos="4536"/>
        </w:tabs>
        <w:ind w:right="-142"/>
        <w:jc w:val="both"/>
        <w:rPr>
          <w:sz w:val="22"/>
          <w:szCs w:val="22"/>
        </w:rPr>
      </w:pPr>
      <w:r>
        <w:rPr>
          <w:sz w:val="22"/>
          <w:szCs w:val="22"/>
        </w:rPr>
        <w:t>Cahier des charges</w:t>
      </w:r>
    </w:p>
    <w:p w:rsidR="00180FF9" w:rsidRDefault="00180FF9" w:rsidP="008B5442">
      <w:pPr>
        <w:numPr>
          <w:ilvl w:val="0"/>
          <w:numId w:val="1"/>
        </w:numPr>
        <w:tabs>
          <w:tab w:val="left" w:pos="4536"/>
        </w:tabs>
        <w:ind w:right="-142"/>
        <w:jc w:val="both"/>
        <w:rPr>
          <w:sz w:val="22"/>
          <w:szCs w:val="22"/>
        </w:rPr>
      </w:pPr>
      <w:r>
        <w:rPr>
          <w:sz w:val="22"/>
          <w:szCs w:val="22"/>
        </w:rPr>
        <w:t>Bordereau des prix unitaires</w:t>
      </w:r>
    </w:p>
    <w:p w:rsidR="006C21D5" w:rsidRDefault="004510CE" w:rsidP="008B5442">
      <w:pPr>
        <w:tabs>
          <w:tab w:val="left" w:pos="4536"/>
        </w:tabs>
        <w:ind w:left="720" w:right="-142"/>
        <w:jc w:val="both"/>
        <w:rPr>
          <w:sz w:val="22"/>
          <w:szCs w:val="22"/>
        </w:rPr>
      </w:pPr>
      <w:r>
        <w:rPr>
          <w:sz w:val="22"/>
          <w:szCs w:val="22"/>
        </w:rPr>
        <w:t xml:space="preserve"> </w:t>
      </w:r>
    </w:p>
    <w:p w:rsidR="006C21D5" w:rsidRDefault="006C21D5" w:rsidP="008B5442">
      <w:pPr>
        <w:tabs>
          <w:tab w:val="left" w:pos="4536"/>
        </w:tabs>
        <w:ind w:right="-142"/>
        <w:jc w:val="both"/>
        <w:rPr>
          <w:sz w:val="22"/>
          <w:szCs w:val="22"/>
        </w:rPr>
      </w:pPr>
    </w:p>
    <w:p w:rsidR="006C21D5" w:rsidRPr="00180FF9" w:rsidRDefault="004510CE" w:rsidP="008B5442">
      <w:pPr>
        <w:tabs>
          <w:tab w:val="left" w:pos="4536"/>
        </w:tabs>
        <w:ind w:right="-142"/>
        <w:jc w:val="both"/>
        <w:rPr>
          <w:sz w:val="22"/>
          <w:szCs w:val="22"/>
        </w:rPr>
      </w:pPr>
      <w:r>
        <w:rPr>
          <w:sz w:val="22"/>
          <w:szCs w:val="22"/>
          <w:u w:val="single"/>
        </w:rPr>
        <w:t>Délai d’exécution ou durée du marché</w:t>
      </w:r>
      <w:r w:rsidR="006B4CDB" w:rsidRPr="006B4CDB">
        <w:rPr>
          <w:sz w:val="22"/>
          <w:szCs w:val="22"/>
        </w:rPr>
        <w:t xml:space="preserve"> </w:t>
      </w:r>
      <w:r w:rsidRPr="006B4CDB">
        <w:rPr>
          <w:sz w:val="22"/>
          <w:szCs w:val="22"/>
        </w:rPr>
        <w:t>:</w:t>
      </w:r>
      <w:r w:rsidR="00180FF9" w:rsidRPr="006B4CDB">
        <w:rPr>
          <w:sz w:val="22"/>
          <w:szCs w:val="22"/>
        </w:rPr>
        <w:t xml:space="preserve"> </w:t>
      </w:r>
      <w:r w:rsidR="00180FF9">
        <w:rPr>
          <w:sz w:val="22"/>
          <w:szCs w:val="22"/>
        </w:rPr>
        <w:t>18 mois</w:t>
      </w:r>
    </w:p>
    <w:p w:rsidR="006C21D5" w:rsidRDefault="006C21D5" w:rsidP="008B5442">
      <w:pPr>
        <w:tabs>
          <w:tab w:val="left" w:pos="4536"/>
        </w:tabs>
        <w:ind w:right="-142"/>
        <w:jc w:val="both"/>
        <w:rPr>
          <w:sz w:val="22"/>
          <w:szCs w:val="22"/>
        </w:rPr>
      </w:pPr>
    </w:p>
    <w:p w:rsidR="006C21D5" w:rsidRDefault="004510CE" w:rsidP="008B5442">
      <w:pPr>
        <w:tabs>
          <w:tab w:val="left" w:pos="4536"/>
        </w:tabs>
        <w:ind w:right="-142"/>
        <w:jc w:val="both"/>
        <w:rPr>
          <w:sz w:val="22"/>
          <w:szCs w:val="22"/>
        </w:rPr>
      </w:pPr>
      <w:r>
        <w:rPr>
          <w:sz w:val="22"/>
          <w:szCs w:val="22"/>
          <w:u w:val="single"/>
        </w:rPr>
        <w:t>Lieu d’exécution</w:t>
      </w:r>
      <w:r>
        <w:rPr>
          <w:sz w:val="22"/>
          <w:szCs w:val="22"/>
        </w:rPr>
        <w:t> :</w:t>
      </w:r>
      <w:r w:rsidR="006B4CDB">
        <w:rPr>
          <w:sz w:val="22"/>
          <w:szCs w:val="22"/>
        </w:rPr>
        <w:t xml:space="preserve"> </w:t>
      </w:r>
      <w:r w:rsidR="00787E06">
        <w:rPr>
          <w:sz w:val="22"/>
          <w:szCs w:val="22"/>
        </w:rPr>
        <w:t>Bourges</w:t>
      </w:r>
    </w:p>
    <w:p w:rsidR="006C21D5" w:rsidRDefault="006C21D5" w:rsidP="008B5442">
      <w:pPr>
        <w:tabs>
          <w:tab w:val="left" w:pos="4536"/>
        </w:tabs>
        <w:ind w:right="-142"/>
        <w:jc w:val="both"/>
        <w:rPr>
          <w:sz w:val="22"/>
          <w:szCs w:val="22"/>
        </w:rPr>
      </w:pPr>
    </w:p>
    <w:p w:rsidR="006C21D5" w:rsidRDefault="006C21D5" w:rsidP="008B5442">
      <w:pPr>
        <w:tabs>
          <w:tab w:val="left" w:pos="4536"/>
        </w:tabs>
        <w:ind w:right="-142"/>
        <w:jc w:val="both"/>
        <w:rPr>
          <w:sz w:val="22"/>
          <w:szCs w:val="22"/>
        </w:rPr>
      </w:pPr>
    </w:p>
    <w:p w:rsidR="006C21D5" w:rsidRDefault="004510CE" w:rsidP="008B5442">
      <w:pPr>
        <w:tabs>
          <w:tab w:val="left" w:pos="4536"/>
        </w:tabs>
        <w:ind w:right="-142"/>
        <w:jc w:val="both"/>
        <w:rPr>
          <w:sz w:val="22"/>
          <w:szCs w:val="22"/>
        </w:rPr>
      </w:pPr>
      <w:r>
        <w:rPr>
          <w:sz w:val="22"/>
          <w:szCs w:val="22"/>
          <w:u w:val="single"/>
        </w:rPr>
        <w:t>Critères de sélection des offres et pondération</w:t>
      </w:r>
      <w:r w:rsidR="006B4CDB" w:rsidRPr="006B4CDB">
        <w:rPr>
          <w:sz w:val="22"/>
          <w:szCs w:val="22"/>
        </w:rPr>
        <w:t xml:space="preserve"> </w:t>
      </w:r>
      <w:r>
        <w:rPr>
          <w:sz w:val="22"/>
          <w:szCs w:val="22"/>
        </w:rPr>
        <w:t>:</w:t>
      </w:r>
    </w:p>
    <w:p w:rsidR="006C21D5" w:rsidRDefault="004510CE" w:rsidP="008B5442">
      <w:pPr>
        <w:tabs>
          <w:tab w:val="left" w:pos="4536"/>
        </w:tabs>
        <w:ind w:right="-142"/>
        <w:jc w:val="both"/>
        <w:rPr>
          <w:sz w:val="22"/>
          <w:szCs w:val="22"/>
        </w:rPr>
      </w:pPr>
      <w:r>
        <w:rPr>
          <w:sz w:val="22"/>
          <w:szCs w:val="22"/>
        </w:rPr>
        <w:t>1)</w:t>
      </w:r>
      <w:r w:rsidR="008B5442">
        <w:rPr>
          <w:sz w:val="22"/>
          <w:szCs w:val="22"/>
        </w:rPr>
        <w:t xml:space="preserve"> </w:t>
      </w:r>
      <w:r w:rsidR="007F79CF">
        <w:rPr>
          <w:sz w:val="22"/>
          <w:szCs w:val="22"/>
        </w:rPr>
        <w:t xml:space="preserve">Méthodologie et technicité </w:t>
      </w:r>
      <w:r>
        <w:rPr>
          <w:sz w:val="22"/>
          <w:szCs w:val="22"/>
        </w:rPr>
        <w:t xml:space="preserve">(coefficient </w:t>
      </w:r>
      <w:r w:rsidR="00130346">
        <w:rPr>
          <w:sz w:val="22"/>
          <w:szCs w:val="22"/>
        </w:rPr>
        <w:t>5</w:t>
      </w:r>
      <w:r w:rsidR="00A150AE">
        <w:rPr>
          <w:sz w:val="22"/>
          <w:szCs w:val="22"/>
        </w:rPr>
        <w:t>5</w:t>
      </w:r>
      <w:r w:rsidR="007F79CF">
        <w:rPr>
          <w:sz w:val="22"/>
          <w:szCs w:val="22"/>
        </w:rPr>
        <w:t>%</w:t>
      </w:r>
      <w:r>
        <w:rPr>
          <w:sz w:val="22"/>
          <w:szCs w:val="22"/>
        </w:rPr>
        <w:t>)</w:t>
      </w:r>
    </w:p>
    <w:p w:rsidR="006C21D5" w:rsidRDefault="004510CE" w:rsidP="008B5442">
      <w:pPr>
        <w:tabs>
          <w:tab w:val="left" w:pos="4536"/>
        </w:tabs>
        <w:ind w:right="-142"/>
        <w:jc w:val="both"/>
        <w:rPr>
          <w:sz w:val="22"/>
          <w:szCs w:val="22"/>
        </w:rPr>
      </w:pPr>
      <w:r>
        <w:rPr>
          <w:sz w:val="22"/>
          <w:szCs w:val="22"/>
        </w:rPr>
        <w:t>2)</w:t>
      </w:r>
      <w:r w:rsidR="008B5442">
        <w:rPr>
          <w:sz w:val="22"/>
          <w:szCs w:val="22"/>
        </w:rPr>
        <w:t xml:space="preserve"> </w:t>
      </w:r>
      <w:r w:rsidR="007F79CF">
        <w:rPr>
          <w:sz w:val="22"/>
          <w:szCs w:val="22"/>
        </w:rPr>
        <w:t xml:space="preserve">Prix </w:t>
      </w:r>
      <w:r>
        <w:rPr>
          <w:sz w:val="22"/>
          <w:szCs w:val="22"/>
        </w:rPr>
        <w:t xml:space="preserve">(coefficient </w:t>
      </w:r>
      <w:r w:rsidR="007F79CF">
        <w:rPr>
          <w:sz w:val="22"/>
          <w:szCs w:val="22"/>
        </w:rPr>
        <w:t>3</w:t>
      </w:r>
      <w:r w:rsidR="00A150AE">
        <w:rPr>
          <w:sz w:val="22"/>
          <w:szCs w:val="22"/>
        </w:rPr>
        <w:t>5</w:t>
      </w:r>
      <w:r w:rsidR="007F79CF">
        <w:rPr>
          <w:sz w:val="22"/>
          <w:szCs w:val="22"/>
        </w:rPr>
        <w:t>%</w:t>
      </w:r>
      <w:r>
        <w:rPr>
          <w:sz w:val="22"/>
          <w:szCs w:val="22"/>
        </w:rPr>
        <w:t>)</w:t>
      </w:r>
    </w:p>
    <w:p w:rsidR="001A45BD" w:rsidRDefault="001A45BD" w:rsidP="008B5442">
      <w:pPr>
        <w:tabs>
          <w:tab w:val="left" w:pos="4536"/>
        </w:tabs>
        <w:ind w:right="-142"/>
        <w:jc w:val="both"/>
        <w:rPr>
          <w:sz w:val="22"/>
          <w:szCs w:val="22"/>
        </w:rPr>
      </w:pPr>
      <w:r>
        <w:rPr>
          <w:sz w:val="22"/>
          <w:szCs w:val="22"/>
        </w:rPr>
        <w:t xml:space="preserve">3) </w:t>
      </w:r>
      <w:r w:rsidR="00130346">
        <w:rPr>
          <w:sz w:val="22"/>
          <w:szCs w:val="22"/>
        </w:rPr>
        <w:t>Expérience en matière de planification climat-air-énergie (</w:t>
      </w:r>
      <w:r w:rsidR="00DF73B9">
        <w:rPr>
          <w:sz w:val="22"/>
          <w:szCs w:val="22"/>
        </w:rPr>
        <w:t>5</w:t>
      </w:r>
      <w:r w:rsidR="00130346">
        <w:rPr>
          <w:sz w:val="22"/>
          <w:szCs w:val="22"/>
        </w:rPr>
        <w:t>%)</w:t>
      </w:r>
    </w:p>
    <w:p w:rsidR="00DF73B9" w:rsidRDefault="00DF73B9" w:rsidP="008B5442">
      <w:pPr>
        <w:tabs>
          <w:tab w:val="left" w:pos="4536"/>
        </w:tabs>
        <w:ind w:right="-142"/>
        <w:jc w:val="both"/>
        <w:rPr>
          <w:sz w:val="22"/>
          <w:szCs w:val="22"/>
        </w:rPr>
      </w:pPr>
      <w:r>
        <w:rPr>
          <w:sz w:val="22"/>
          <w:szCs w:val="22"/>
        </w:rPr>
        <w:t>4) Engagement en faveur du développement durable (5%)</w:t>
      </w:r>
      <w:bookmarkStart w:id="0" w:name="_GoBack"/>
      <w:bookmarkEnd w:id="0"/>
    </w:p>
    <w:p w:rsidR="006C21D5" w:rsidRDefault="006C21D5" w:rsidP="008B5442">
      <w:pPr>
        <w:tabs>
          <w:tab w:val="left" w:pos="4536"/>
        </w:tabs>
        <w:ind w:right="-142"/>
        <w:jc w:val="both"/>
        <w:rPr>
          <w:sz w:val="22"/>
          <w:szCs w:val="22"/>
        </w:rPr>
      </w:pPr>
    </w:p>
    <w:p w:rsidR="006C21D5" w:rsidRDefault="004510CE" w:rsidP="008B5442">
      <w:pPr>
        <w:tabs>
          <w:tab w:val="left" w:pos="4536"/>
        </w:tabs>
        <w:ind w:right="-142"/>
        <w:jc w:val="both"/>
        <w:rPr>
          <w:sz w:val="22"/>
          <w:szCs w:val="22"/>
        </w:rPr>
      </w:pPr>
      <w:r>
        <w:rPr>
          <w:sz w:val="22"/>
          <w:szCs w:val="22"/>
          <w:u w:val="single"/>
        </w:rPr>
        <w:t>Délai de validité des offres</w:t>
      </w:r>
      <w:r>
        <w:rPr>
          <w:sz w:val="22"/>
          <w:szCs w:val="22"/>
        </w:rPr>
        <w:t> : 120 jours</w:t>
      </w:r>
    </w:p>
    <w:p w:rsidR="006C21D5" w:rsidRDefault="006C21D5" w:rsidP="008B5442">
      <w:pPr>
        <w:tabs>
          <w:tab w:val="left" w:pos="4536"/>
        </w:tabs>
        <w:ind w:right="-142"/>
        <w:jc w:val="both"/>
        <w:rPr>
          <w:sz w:val="22"/>
          <w:szCs w:val="22"/>
        </w:rPr>
      </w:pPr>
    </w:p>
    <w:p w:rsidR="006C21D5" w:rsidRDefault="004510CE" w:rsidP="008B5442">
      <w:pPr>
        <w:tabs>
          <w:tab w:val="left" w:pos="4536"/>
        </w:tabs>
        <w:ind w:right="-142"/>
        <w:jc w:val="both"/>
        <w:rPr>
          <w:sz w:val="22"/>
          <w:szCs w:val="22"/>
        </w:rPr>
      </w:pPr>
      <w:r>
        <w:rPr>
          <w:sz w:val="22"/>
          <w:szCs w:val="22"/>
          <w:u w:val="single"/>
        </w:rPr>
        <w:t>Date limite de remise des offres</w:t>
      </w:r>
      <w:r w:rsidRPr="006B4CDB">
        <w:rPr>
          <w:sz w:val="22"/>
          <w:szCs w:val="22"/>
        </w:rPr>
        <w:t> :</w:t>
      </w:r>
      <w:r w:rsidR="00180FF9" w:rsidRPr="006B4CDB">
        <w:rPr>
          <w:sz w:val="22"/>
          <w:szCs w:val="22"/>
        </w:rPr>
        <w:t xml:space="preserve"> </w:t>
      </w:r>
      <w:r w:rsidR="00180FF9">
        <w:rPr>
          <w:sz w:val="22"/>
          <w:szCs w:val="22"/>
        </w:rPr>
        <w:t>lundi 9 novembre 2026 -</w:t>
      </w:r>
      <w:r>
        <w:rPr>
          <w:sz w:val="22"/>
          <w:szCs w:val="22"/>
        </w:rPr>
        <w:t>16h</w:t>
      </w:r>
    </w:p>
    <w:p w:rsidR="006C21D5" w:rsidRDefault="006C21D5" w:rsidP="008B5442">
      <w:pPr>
        <w:tabs>
          <w:tab w:val="left" w:pos="4536"/>
        </w:tabs>
        <w:ind w:right="-142"/>
        <w:jc w:val="both"/>
        <w:rPr>
          <w:sz w:val="22"/>
          <w:szCs w:val="22"/>
        </w:rPr>
      </w:pPr>
    </w:p>
    <w:p w:rsidR="008B5442" w:rsidRPr="00DE48C9" w:rsidRDefault="008B5442" w:rsidP="006B4CDB">
      <w:pPr>
        <w:tabs>
          <w:tab w:val="left" w:pos="4536"/>
        </w:tabs>
        <w:ind w:right="-142"/>
        <w:jc w:val="both"/>
        <w:rPr>
          <w:rFonts w:cs="Arial"/>
          <w:color w:val="000000"/>
        </w:rPr>
      </w:pPr>
      <w:r w:rsidRPr="002E064B">
        <w:rPr>
          <w:rFonts w:cs="Arial"/>
          <w:b/>
          <w:color w:val="000000"/>
          <w:u w:val="single"/>
        </w:rPr>
        <w:t>Retrait des dossiers</w:t>
      </w:r>
      <w:r w:rsidRPr="002E064B">
        <w:rPr>
          <w:rFonts w:cs="Arial"/>
          <w:b/>
          <w:color w:val="000000"/>
        </w:rPr>
        <w:t xml:space="preserve"> : Les dossiers sont téléchargeables sur le site </w:t>
      </w:r>
      <w:hyperlink r:id="rId9" w:history="1">
        <w:r w:rsidRPr="00DE48C9">
          <w:rPr>
            <w:rStyle w:val="Lienhypertexte"/>
            <w:rFonts w:cs="Arial"/>
          </w:rPr>
          <w:t>http://marches-publics.info</w:t>
        </w:r>
      </w:hyperlink>
      <w:r w:rsidRPr="00DE48C9">
        <w:rPr>
          <w:rFonts w:cs="Arial"/>
          <w:color w:val="000000"/>
        </w:rPr>
        <w:t>.</w:t>
      </w:r>
    </w:p>
    <w:p w:rsidR="008B5442" w:rsidRDefault="008B5442" w:rsidP="008B5442">
      <w:pPr>
        <w:pStyle w:val="Normal2"/>
        <w:ind w:left="-142" w:right="-142" w:firstLine="0"/>
        <w:rPr>
          <w:rFonts w:ascii="Tahoma" w:hAnsi="Tahoma"/>
          <w:i/>
          <w:sz w:val="18"/>
          <w:szCs w:val="18"/>
        </w:rPr>
      </w:pPr>
    </w:p>
    <w:p w:rsidR="008B5442" w:rsidRPr="00B9737F" w:rsidRDefault="008B5442" w:rsidP="006B4CDB">
      <w:pPr>
        <w:tabs>
          <w:tab w:val="left" w:pos="4536"/>
        </w:tabs>
        <w:ind w:right="-284"/>
        <w:jc w:val="both"/>
        <w:rPr>
          <w:rFonts w:ascii="Tahoma" w:hAnsi="Tahoma"/>
          <w:i/>
          <w:sz w:val="18"/>
          <w:szCs w:val="18"/>
        </w:rPr>
      </w:pPr>
      <w:r w:rsidRPr="00B9737F">
        <w:rPr>
          <w:rFonts w:ascii="Tahoma" w:hAnsi="Tahoma"/>
          <w:i/>
          <w:sz w:val="18"/>
          <w:szCs w:val="18"/>
        </w:rPr>
        <w:t>L’identification du candidat sur la plateforme de dématérialisation de la collectivité n’est pas obligatoire pour le téléchargement du dossier de consultation des entreprises. Toutefois, le candidat non identifié ne pourra pas être informé des éventuelles modifications apportées au dossier de consultation des entreprises et autres questions/réponses relatives à la procédure.</w:t>
      </w:r>
    </w:p>
    <w:p w:rsidR="008B5442" w:rsidRPr="00B9737F" w:rsidRDefault="008B5442" w:rsidP="006B4CDB">
      <w:pPr>
        <w:tabs>
          <w:tab w:val="left" w:pos="4536"/>
        </w:tabs>
        <w:ind w:right="-284"/>
        <w:jc w:val="both"/>
        <w:rPr>
          <w:rFonts w:ascii="Tahoma" w:hAnsi="Tahoma"/>
          <w:i/>
          <w:sz w:val="18"/>
          <w:szCs w:val="18"/>
        </w:rPr>
      </w:pPr>
    </w:p>
    <w:p w:rsidR="008B5442" w:rsidRDefault="008B5442" w:rsidP="006B4CDB">
      <w:pPr>
        <w:tabs>
          <w:tab w:val="left" w:pos="4536"/>
        </w:tabs>
        <w:ind w:right="-284"/>
        <w:jc w:val="both"/>
        <w:rPr>
          <w:rFonts w:ascii="Tahoma" w:hAnsi="Tahoma"/>
          <w:i/>
          <w:sz w:val="18"/>
          <w:szCs w:val="18"/>
        </w:rPr>
      </w:pPr>
      <w:r w:rsidRPr="00B9737F">
        <w:rPr>
          <w:rFonts w:ascii="Tahoma" w:hAnsi="Tahoma"/>
          <w:i/>
          <w:sz w:val="18"/>
          <w:szCs w:val="18"/>
        </w:rPr>
        <w:t>Le candidat est invité à créer son "</w:t>
      </w:r>
      <w:r w:rsidRPr="00B9737F">
        <w:rPr>
          <w:rFonts w:ascii="Tahoma" w:hAnsi="Tahoma"/>
          <w:sz w:val="18"/>
          <w:szCs w:val="18"/>
        </w:rPr>
        <w:t>Espace entreprise</w:t>
      </w:r>
      <w:r w:rsidRPr="00B9737F">
        <w:rPr>
          <w:rFonts w:ascii="Tahoma" w:hAnsi="Tahoma"/>
          <w:i/>
          <w:sz w:val="18"/>
          <w:szCs w:val="18"/>
        </w:rPr>
        <w:t>" sur la plateforme AWS-Entreprise (</w:t>
      </w:r>
      <w:hyperlink r:id="rId10" w:history="1">
        <w:r w:rsidRPr="00930982">
          <w:rPr>
            <w:rStyle w:val="Lienhypertexte"/>
            <w:rFonts w:ascii="Tahoma" w:hAnsi="Tahoma"/>
            <w:i/>
            <w:sz w:val="18"/>
            <w:szCs w:val="18"/>
          </w:rPr>
          <w:t>https://www.marches-publics.info/fournisseurs.htm</w:t>
        </w:r>
      </w:hyperlink>
      <w:r w:rsidRPr="00B9737F">
        <w:rPr>
          <w:rFonts w:ascii="Tahoma" w:hAnsi="Tahoma"/>
          <w:i/>
          <w:sz w:val="18"/>
          <w:szCs w:val="18"/>
        </w:rPr>
        <w:t xml:space="preserve">). Sur cette plateforme, le candidat pourra retrouver l'ensemble de ses retraits de dossier </w:t>
      </w:r>
      <w:r w:rsidRPr="00B9737F">
        <w:rPr>
          <w:rFonts w:ascii="Tahoma" w:hAnsi="Tahoma"/>
          <w:i/>
          <w:sz w:val="18"/>
          <w:szCs w:val="18"/>
        </w:rPr>
        <w:lastRenderedPageBreak/>
        <w:t>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8B5442" w:rsidRPr="00CD521D" w:rsidRDefault="008B5442" w:rsidP="006B4CDB">
      <w:pPr>
        <w:tabs>
          <w:tab w:val="left" w:pos="4536"/>
        </w:tabs>
        <w:ind w:right="-284"/>
        <w:jc w:val="both"/>
        <w:rPr>
          <w:sz w:val="22"/>
          <w:szCs w:val="22"/>
        </w:rPr>
      </w:pPr>
    </w:p>
    <w:p w:rsidR="008B5442" w:rsidRDefault="008B5442" w:rsidP="006B4CDB">
      <w:pPr>
        <w:tabs>
          <w:tab w:val="left" w:pos="4536"/>
        </w:tabs>
        <w:ind w:right="-284"/>
        <w:jc w:val="both"/>
        <w:rPr>
          <w:u w:val="single"/>
        </w:rPr>
      </w:pPr>
      <w:r w:rsidRPr="002E064B">
        <w:rPr>
          <w:u w:val="single"/>
        </w:rPr>
        <w:t>Modalités de remise des offres</w:t>
      </w:r>
      <w:r w:rsidRPr="00887F05">
        <w:t> :</w:t>
      </w:r>
    </w:p>
    <w:p w:rsidR="008B5442" w:rsidRPr="002E064B" w:rsidRDefault="008B5442" w:rsidP="006B4CDB">
      <w:pPr>
        <w:tabs>
          <w:tab w:val="left" w:pos="4536"/>
        </w:tabs>
        <w:ind w:right="-284"/>
        <w:jc w:val="both"/>
        <w:rPr>
          <w:u w:val="single"/>
        </w:rPr>
      </w:pPr>
    </w:p>
    <w:p w:rsidR="008B5442" w:rsidRPr="00DE48C9" w:rsidRDefault="008B5442" w:rsidP="006B4CDB">
      <w:pPr>
        <w:pStyle w:val="ParagrapheIndent2"/>
        <w:spacing w:line="232" w:lineRule="exact"/>
        <w:ind w:right="-284"/>
        <w:jc w:val="both"/>
        <w:rPr>
          <w:rFonts w:ascii="Arial" w:hAnsi="Arial" w:cs="Arial"/>
          <w:color w:val="000000"/>
          <w:lang w:val="fr-FR"/>
        </w:rPr>
      </w:pPr>
      <w:r>
        <w:rPr>
          <w:rFonts w:ascii="Arial" w:hAnsi="Arial" w:cs="Arial"/>
          <w:color w:val="000000"/>
          <w:lang w:val="fr-FR"/>
        </w:rPr>
        <w:t>Le pouvoir adjudicateur préconise l</w:t>
      </w:r>
      <w:r w:rsidRPr="00DE48C9">
        <w:rPr>
          <w:rFonts w:ascii="Arial" w:hAnsi="Arial" w:cs="Arial"/>
          <w:color w:val="000000"/>
          <w:lang w:val="fr-FR"/>
        </w:rPr>
        <w:t xml:space="preserve">a transmission des </w:t>
      </w:r>
      <w:r>
        <w:rPr>
          <w:rFonts w:ascii="Arial" w:hAnsi="Arial" w:cs="Arial"/>
          <w:color w:val="000000"/>
          <w:lang w:val="fr-FR"/>
        </w:rPr>
        <w:t>offres</w:t>
      </w:r>
      <w:r w:rsidRPr="00DE48C9">
        <w:rPr>
          <w:rFonts w:ascii="Arial" w:hAnsi="Arial" w:cs="Arial"/>
          <w:color w:val="000000"/>
          <w:lang w:val="fr-FR"/>
        </w:rPr>
        <w:t xml:space="preserve"> par voie électronique sur </w:t>
      </w:r>
      <w:r>
        <w:rPr>
          <w:rFonts w:ascii="Arial" w:hAnsi="Arial" w:cs="Arial"/>
          <w:color w:val="000000"/>
          <w:lang w:val="fr-FR"/>
        </w:rPr>
        <w:t>son</w:t>
      </w:r>
      <w:r w:rsidRPr="00DE48C9">
        <w:rPr>
          <w:rFonts w:ascii="Arial" w:hAnsi="Arial" w:cs="Arial"/>
          <w:color w:val="000000"/>
          <w:lang w:val="fr-FR"/>
        </w:rPr>
        <w:t xml:space="preserve"> profil acheteur, à l'adresse URL suivante : </w:t>
      </w:r>
      <w:hyperlink r:id="rId11" w:history="1">
        <w:r w:rsidRPr="00DE48C9">
          <w:rPr>
            <w:rStyle w:val="Lienhypertexte"/>
            <w:rFonts w:ascii="Arial" w:hAnsi="Arial" w:cs="Arial"/>
            <w:lang w:val="fr-FR"/>
          </w:rPr>
          <w:t>http://marches-publics.info</w:t>
        </w:r>
      </w:hyperlink>
      <w:r w:rsidRPr="00DE48C9">
        <w:rPr>
          <w:rFonts w:ascii="Arial" w:hAnsi="Arial" w:cs="Arial"/>
          <w:color w:val="000000"/>
          <w:lang w:val="fr-FR"/>
        </w:rPr>
        <w:t>.</w:t>
      </w:r>
    </w:p>
    <w:p w:rsidR="008B5442" w:rsidRDefault="008B5442" w:rsidP="006B4CDB">
      <w:pPr>
        <w:tabs>
          <w:tab w:val="left" w:pos="4536"/>
        </w:tabs>
        <w:ind w:right="-284"/>
        <w:jc w:val="both"/>
      </w:pPr>
    </w:p>
    <w:p w:rsidR="006C21D5" w:rsidRDefault="006C21D5" w:rsidP="006B4CDB">
      <w:pPr>
        <w:tabs>
          <w:tab w:val="left" w:pos="4536"/>
        </w:tabs>
        <w:ind w:right="-284"/>
        <w:jc w:val="both"/>
        <w:rPr>
          <w:sz w:val="22"/>
          <w:szCs w:val="22"/>
        </w:rPr>
      </w:pPr>
    </w:p>
    <w:p w:rsidR="006C21D5" w:rsidRDefault="004510CE" w:rsidP="006B4CDB">
      <w:pPr>
        <w:tabs>
          <w:tab w:val="left" w:pos="1720"/>
          <w:tab w:val="left" w:pos="4780"/>
        </w:tabs>
        <w:ind w:right="-284"/>
        <w:jc w:val="both"/>
        <w:rPr>
          <w:sz w:val="22"/>
          <w:szCs w:val="22"/>
        </w:rPr>
      </w:pPr>
      <w:r>
        <w:rPr>
          <w:sz w:val="22"/>
          <w:szCs w:val="22"/>
        </w:rPr>
        <w:tab/>
      </w:r>
    </w:p>
    <w:p w:rsidR="006C21D5" w:rsidRDefault="006C21D5" w:rsidP="006B4CDB">
      <w:pPr>
        <w:tabs>
          <w:tab w:val="center" w:pos="7088"/>
        </w:tabs>
        <w:ind w:right="-284"/>
        <w:jc w:val="both"/>
        <w:rPr>
          <w:sz w:val="22"/>
          <w:szCs w:val="22"/>
        </w:rPr>
      </w:pPr>
    </w:p>
    <w:p w:rsidR="006C21D5" w:rsidRDefault="006C21D5" w:rsidP="006B4CDB">
      <w:pPr>
        <w:tabs>
          <w:tab w:val="center" w:pos="7088"/>
        </w:tabs>
        <w:ind w:right="-284"/>
        <w:jc w:val="both"/>
        <w:rPr>
          <w:sz w:val="22"/>
          <w:szCs w:val="22"/>
        </w:rPr>
      </w:pPr>
    </w:p>
    <w:p w:rsidR="006C21D5" w:rsidRDefault="006C21D5" w:rsidP="006B4CDB">
      <w:pPr>
        <w:tabs>
          <w:tab w:val="center" w:pos="7088"/>
        </w:tabs>
        <w:ind w:right="-284"/>
        <w:jc w:val="both"/>
        <w:rPr>
          <w:sz w:val="22"/>
          <w:szCs w:val="22"/>
        </w:rPr>
      </w:pPr>
    </w:p>
    <w:p w:rsidR="006C21D5" w:rsidRDefault="006C21D5" w:rsidP="006B4CDB">
      <w:pPr>
        <w:tabs>
          <w:tab w:val="center" w:pos="7088"/>
        </w:tabs>
        <w:ind w:right="-284"/>
        <w:jc w:val="both"/>
        <w:rPr>
          <w:sz w:val="22"/>
          <w:szCs w:val="22"/>
        </w:rPr>
      </w:pPr>
    </w:p>
    <w:p w:rsidR="006C21D5" w:rsidRDefault="004510CE" w:rsidP="006B4CDB">
      <w:pPr>
        <w:tabs>
          <w:tab w:val="center" w:pos="7088"/>
        </w:tabs>
        <w:ind w:right="-284"/>
        <w:jc w:val="both"/>
        <w:rPr>
          <w:sz w:val="22"/>
          <w:szCs w:val="22"/>
        </w:rPr>
      </w:pPr>
      <w:r>
        <w:rPr>
          <w:sz w:val="22"/>
          <w:szCs w:val="22"/>
        </w:rPr>
        <w:tab/>
      </w:r>
    </w:p>
    <w:sectPr w:rsidR="006C21D5" w:rsidSect="006B4CDB">
      <w:footerReference w:type="even" r:id="rId12"/>
      <w:footerReference w:type="default" r:id="rId13"/>
      <w:pgSz w:w="11906" w:h="16838"/>
      <w:pgMar w:top="993"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21D5" w:rsidRDefault="004510CE">
      <w:r>
        <w:separator/>
      </w:r>
    </w:p>
  </w:endnote>
  <w:endnote w:type="continuationSeparator" w:id="0">
    <w:p w:rsidR="006C21D5" w:rsidRDefault="00451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1D5" w:rsidRDefault="004510C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rPr>
      <w:t>1</w:t>
    </w:r>
    <w:r>
      <w:rPr>
        <w:rStyle w:val="Numrodepage"/>
      </w:rPr>
      <w:fldChar w:fldCharType="end"/>
    </w:r>
  </w:p>
  <w:p w:rsidR="006C21D5" w:rsidRDefault="006C21D5">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1D5" w:rsidRDefault="004510C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rPr>
      <w:t>1</w:t>
    </w:r>
    <w:r>
      <w:rPr>
        <w:rStyle w:val="Numrodepage"/>
      </w:rPr>
      <w:fldChar w:fldCharType="end"/>
    </w:r>
  </w:p>
  <w:p w:rsidR="006C21D5" w:rsidRDefault="006C21D5">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21D5" w:rsidRDefault="004510CE">
      <w:r>
        <w:separator/>
      </w:r>
    </w:p>
  </w:footnote>
  <w:footnote w:type="continuationSeparator" w:id="0">
    <w:p w:rsidR="006C21D5" w:rsidRDefault="004510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0325F4"/>
    <w:multiLevelType w:val="multilevel"/>
    <w:tmpl w:val="0D34E918"/>
    <w:lvl w:ilvl="0">
      <w:start w:val="71"/>
      <w:numFmt w:val="bullet"/>
      <w:lvlText w:val="-"/>
      <w:lvlJc w:val="left"/>
      <w:pPr>
        <w:tabs>
          <w:tab w:val="num" w:pos="720"/>
        </w:tabs>
        <w:ind w:left="720" w:hanging="360"/>
      </w:pPr>
      <w:rPr>
        <w:rFonts w:ascii="Arial" w:eastAsia="Times New Roman"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1D5"/>
    <w:rsid w:val="00000808"/>
    <w:rsid w:val="00130346"/>
    <w:rsid w:val="00180FF9"/>
    <w:rsid w:val="001A45BD"/>
    <w:rsid w:val="004510CE"/>
    <w:rsid w:val="006B4CDB"/>
    <w:rsid w:val="006C21D5"/>
    <w:rsid w:val="00787E06"/>
    <w:rsid w:val="007F79CF"/>
    <w:rsid w:val="008B5442"/>
    <w:rsid w:val="00A150AE"/>
    <w:rsid w:val="00DF73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652D2"/>
  <w15:docId w15:val="{491FBC2A-2CAF-4C3B-9BDC-64AABEF75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rPr>
  </w:style>
  <w:style w:type="paragraph" w:styleId="Titre1">
    <w:name w:val="heading 1"/>
    <w:basedOn w:val="Normal"/>
    <w:next w:val="Normal"/>
    <w:link w:val="Titre1Car"/>
    <w:qFormat/>
    <w:pPr>
      <w:keepNext/>
      <w:tabs>
        <w:tab w:val="left" w:pos="993"/>
      </w:tabs>
      <w:outlineLvl w:val="0"/>
    </w:pPr>
    <w:rPr>
      <w:sz w:val="24"/>
    </w:rPr>
  </w:style>
  <w:style w:type="paragraph" w:styleId="Titre2">
    <w:name w:val="heading 2"/>
    <w:basedOn w:val="Normal"/>
    <w:next w:val="Normal"/>
    <w:link w:val="Titre2Car"/>
    <w:qFormat/>
    <w:pPr>
      <w:keepNext/>
      <w:spacing w:before="240" w:after="60"/>
      <w:outlineLvl w:val="1"/>
    </w:pPr>
    <w:rPr>
      <w:rFonts w:cs="Arial"/>
      <w:b/>
      <w:bCs/>
      <w:i/>
      <w:iCs/>
      <w:sz w:val="28"/>
      <w:szCs w:val="28"/>
    </w:rPr>
  </w:style>
  <w:style w:type="paragraph" w:styleId="Titre3">
    <w:name w:val="heading 3"/>
    <w:basedOn w:val="Normal"/>
    <w:next w:val="Normal"/>
    <w:link w:val="Titre3Car"/>
    <w:uiPriority w:val="9"/>
    <w:unhideWhenUsed/>
    <w:qFormat/>
    <w:pPr>
      <w:keepNext/>
      <w:keepLines/>
      <w:spacing w:before="160" w:after="80"/>
      <w:outlineLvl w:val="2"/>
    </w:pPr>
    <w:rPr>
      <w:rFonts w:eastAsia="Arial" w:cs="Arial"/>
      <w:color w:val="365F91" w:themeColor="accent1" w:themeShade="BF"/>
      <w:sz w:val="28"/>
      <w:szCs w:val="28"/>
    </w:rPr>
  </w:style>
  <w:style w:type="paragraph" w:styleId="Titre4">
    <w:name w:val="heading 4"/>
    <w:basedOn w:val="Normal"/>
    <w:next w:val="Normal"/>
    <w:link w:val="Titre4Car"/>
    <w:uiPriority w:val="9"/>
    <w:unhideWhenUsed/>
    <w:qFormat/>
    <w:pPr>
      <w:keepNext/>
      <w:keepLines/>
      <w:spacing w:before="80" w:after="40"/>
      <w:outlineLvl w:val="3"/>
    </w:pPr>
    <w:rPr>
      <w:rFonts w:eastAsia="Arial" w:cs="Arial"/>
      <w:i/>
      <w:iCs/>
      <w:color w:val="365F91" w:themeColor="accent1" w:themeShade="BF"/>
    </w:rPr>
  </w:style>
  <w:style w:type="paragraph" w:styleId="Titre5">
    <w:name w:val="heading 5"/>
    <w:basedOn w:val="Normal"/>
    <w:next w:val="Normal"/>
    <w:link w:val="Titre5Car"/>
    <w:uiPriority w:val="9"/>
    <w:unhideWhenUsed/>
    <w:qFormat/>
    <w:pPr>
      <w:keepNext/>
      <w:keepLines/>
      <w:spacing w:before="80" w:after="40"/>
      <w:outlineLvl w:val="4"/>
    </w:pPr>
    <w:rPr>
      <w:rFonts w:eastAsia="Arial" w:cs="Arial"/>
      <w:color w:val="365F91" w:themeColor="accent1" w:themeShade="BF"/>
    </w:rPr>
  </w:style>
  <w:style w:type="paragraph" w:styleId="Titre6">
    <w:name w:val="heading 6"/>
    <w:basedOn w:val="Normal"/>
    <w:next w:val="Normal"/>
    <w:link w:val="Titre6Car"/>
    <w:uiPriority w:val="9"/>
    <w:unhideWhenUsed/>
    <w:qFormat/>
    <w:pPr>
      <w:keepNext/>
      <w:keepLines/>
      <w:spacing w:before="40"/>
      <w:outlineLvl w:val="5"/>
    </w:pPr>
    <w:rPr>
      <w:rFonts w:eastAsia="Arial" w:cs="Arial"/>
      <w:i/>
      <w:iCs/>
      <w:color w:val="595959" w:themeColor="text1" w:themeTint="A6"/>
    </w:rPr>
  </w:style>
  <w:style w:type="paragraph" w:styleId="Titre7">
    <w:name w:val="heading 7"/>
    <w:basedOn w:val="Normal"/>
    <w:next w:val="Normal"/>
    <w:link w:val="Titre7Car"/>
    <w:uiPriority w:val="9"/>
    <w:unhideWhenUsed/>
    <w:qFormat/>
    <w:pPr>
      <w:keepNext/>
      <w:keepLines/>
      <w:spacing w:before="40"/>
      <w:outlineLvl w:val="6"/>
    </w:pPr>
    <w:rPr>
      <w:rFonts w:eastAsia="Arial" w:cs="Arial"/>
      <w:color w:val="595959" w:themeColor="text1" w:themeTint="A6"/>
    </w:rPr>
  </w:style>
  <w:style w:type="paragraph" w:styleId="Titre8">
    <w:name w:val="heading 8"/>
    <w:basedOn w:val="Normal"/>
    <w:next w:val="Normal"/>
    <w:link w:val="Titre8Car"/>
    <w:uiPriority w:val="9"/>
    <w:unhideWhenUsed/>
    <w:qFormat/>
    <w:pPr>
      <w:keepNext/>
      <w:keepLines/>
      <w:outlineLvl w:val="7"/>
    </w:pPr>
    <w:rPr>
      <w:rFonts w:eastAsia="Arial" w:cs="Arial"/>
      <w:i/>
      <w:iCs/>
      <w:color w:val="272727" w:themeColor="text1" w:themeTint="D8"/>
    </w:rPr>
  </w:style>
  <w:style w:type="paragraph" w:styleId="Titre9">
    <w:name w:val="heading 9"/>
    <w:basedOn w:val="Normal"/>
    <w:next w:val="Normal"/>
    <w:link w:val="Titre9Car"/>
    <w:uiPriority w:val="9"/>
    <w:unhideWhenUsed/>
    <w:qFormat/>
    <w:pPr>
      <w:keepNext/>
      <w:keepLines/>
      <w:outlineLvl w:val="8"/>
    </w:pPr>
    <w:rPr>
      <w:rFonts w:eastAsia="Arial" w:cs="Arial"/>
      <w:i/>
      <w:iCs/>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au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au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au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au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au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au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au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au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au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au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au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au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365F91" w:themeColor="accent1" w:themeShade="BF"/>
      <w:sz w:val="40"/>
      <w:szCs w:val="40"/>
    </w:rPr>
  </w:style>
  <w:style w:type="character" w:customStyle="1" w:styleId="Titre2Car">
    <w:name w:val="Titre 2 Car"/>
    <w:basedOn w:val="Policepardfaut"/>
    <w:link w:val="Titre2"/>
    <w:uiPriority w:val="9"/>
    <w:rPr>
      <w:rFonts w:ascii="Arial" w:eastAsia="Arial" w:hAnsi="Arial" w:cs="Arial"/>
      <w:color w:val="365F91"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365F91"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365F91" w:themeColor="accent1" w:themeShade="BF"/>
    </w:rPr>
  </w:style>
  <w:style w:type="character" w:customStyle="1" w:styleId="Titre5Car">
    <w:name w:val="Titre 5 Car"/>
    <w:basedOn w:val="Policepardfaut"/>
    <w:link w:val="Titre5"/>
    <w:uiPriority w:val="9"/>
    <w:rPr>
      <w:rFonts w:ascii="Arial" w:eastAsia="Arial" w:hAnsi="Arial" w:cs="Arial"/>
      <w:color w:val="365F91"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paragraph" w:styleId="Titre">
    <w:name w:val="Title"/>
    <w:basedOn w:val="Normal"/>
    <w:next w:val="Normal"/>
    <w:link w:val="TitreCar"/>
    <w:uiPriority w:val="10"/>
    <w:qFormat/>
    <w:pPr>
      <w:spacing w:after="80"/>
      <w:contextualSpacing/>
    </w:pPr>
    <w:rPr>
      <w:rFonts w:eastAsia="Arial" w:cs="Arial"/>
      <w:spacing w:val="-10"/>
      <w:sz w:val="56"/>
      <w:szCs w:val="56"/>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pPr>
    <w:rPr>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paragraph" w:styleId="Paragraphedeliste">
    <w:name w:val="List Paragraph"/>
    <w:basedOn w:val="Normal"/>
    <w:uiPriority w:val="34"/>
    <w:qFormat/>
    <w:pPr>
      <w:ind w:left="720"/>
      <w:contextualSpacing/>
    </w:pPr>
  </w:style>
  <w:style w:type="character" w:styleId="Accentuationintense">
    <w:name w:val="Intense Emphasis"/>
    <w:basedOn w:val="Policepardfaut"/>
    <w:uiPriority w:val="21"/>
    <w:qFormat/>
    <w:rPr>
      <w:i/>
      <w:iCs/>
      <w:color w:val="365F91" w:themeColor="accent1" w:themeShade="BF"/>
    </w:rPr>
  </w:style>
  <w:style w:type="paragraph" w:styleId="Citationintense">
    <w:name w:val="Intense Quote"/>
    <w:basedOn w:val="Normal"/>
    <w:next w:val="Normal"/>
    <w:link w:val="CitationintenseC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Pr>
      <w:i/>
      <w:iCs/>
      <w:color w:val="365F91" w:themeColor="accent1" w:themeShade="BF"/>
    </w:rPr>
  </w:style>
  <w:style w:type="character" w:styleId="Rfrenceintense">
    <w:name w:val="Intense Reference"/>
    <w:basedOn w:val="Policepardfaut"/>
    <w:uiPriority w:val="32"/>
    <w:qFormat/>
    <w:rPr>
      <w:b/>
      <w:bCs/>
      <w:smallCaps/>
      <w:color w:val="365F91" w:themeColor="accent1" w:themeShade="BF"/>
      <w:spacing w:val="5"/>
    </w:rPr>
  </w:style>
  <w:style w:type="paragraph" w:styleId="Sansinterligne">
    <w:name w:val="No Spacing"/>
    <w:basedOn w:val="Normal"/>
    <w:uiPriority w:val="1"/>
    <w:qFormat/>
  </w:style>
  <w:style w:type="character" w:styleId="Accentuationlgre">
    <w:name w:val="Subtle Emphasis"/>
    <w:basedOn w:val="Policepardfaut"/>
    <w:uiPriority w:val="19"/>
    <w:qFormat/>
    <w:rPr>
      <w:i/>
      <w:iCs/>
      <w:color w:val="404040" w:themeColor="text1" w:themeTint="BF"/>
    </w:rPr>
  </w:style>
  <w:style w:type="character" w:styleId="Accentuation">
    <w:name w:val="Emphasis"/>
    <w:basedOn w:val="Policepardfaut"/>
    <w:uiPriority w:val="20"/>
    <w:qFormat/>
    <w:rPr>
      <w:i/>
      <w:iCs/>
    </w:rPr>
  </w:style>
  <w:style w:type="character" w:styleId="lev">
    <w:name w:val="Strong"/>
    <w:basedOn w:val="Policepardfaut"/>
    <w:uiPriority w:val="22"/>
    <w:qFormat/>
    <w:rPr>
      <w:b/>
      <w:bCs/>
    </w:rPr>
  </w:style>
  <w:style w:type="character" w:styleId="Rfrencelgre">
    <w:name w:val="Subtle Reference"/>
    <w:basedOn w:val="Policepardfaut"/>
    <w:uiPriority w:val="31"/>
    <w:qFormat/>
    <w:rPr>
      <w:smallCaps/>
      <w:color w:val="5A5A5A" w:themeColor="text1" w:themeTint="A5"/>
    </w:rPr>
  </w:style>
  <w:style w:type="character" w:styleId="Titredulivre">
    <w:name w:val="Book Title"/>
    <w:basedOn w:val="Policepardfaut"/>
    <w:uiPriority w:val="33"/>
    <w:qFormat/>
    <w:rPr>
      <w:b/>
      <w:bCs/>
      <w:i/>
      <w:iCs/>
      <w:spacing w:val="5"/>
    </w:rPr>
  </w:style>
  <w:style w:type="paragraph" w:styleId="En-tte">
    <w:name w:val="header"/>
    <w:basedOn w:val="Normal"/>
    <w:link w:val="En-tteCar"/>
    <w:uiPriority w:val="99"/>
    <w:unhideWhenUsed/>
    <w:pPr>
      <w:tabs>
        <w:tab w:val="center" w:pos="4844"/>
        <w:tab w:val="right" w:pos="9689"/>
      </w:tabs>
    </w:pPr>
  </w:style>
  <w:style w:type="character" w:customStyle="1" w:styleId="En-tteCar">
    <w:name w:val="En-tête Car"/>
    <w:basedOn w:val="Policepardfaut"/>
    <w:link w:val="En-tte"/>
    <w:uiPriority w:val="99"/>
  </w:style>
  <w:style w:type="paragraph" w:styleId="Pieddepage">
    <w:name w:val="footer"/>
    <w:basedOn w:val="Normal"/>
    <w:link w:val="PieddepageCar"/>
    <w:pPr>
      <w:tabs>
        <w:tab w:val="center" w:pos="4536"/>
        <w:tab w:val="right" w:pos="9072"/>
      </w:tabs>
    </w:pPr>
  </w:style>
  <w:style w:type="character" w:customStyle="1" w:styleId="PieddepageCar">
    <w:name w:val="Pied de page Car"/>
    <w:basedOn w:val="Policepardfaut"/>
    <w:link w:val="Pieddepage"/>
    <w:uiPriority w:val="99"/>
  </w:style>
  <w:style w:type="paragraph" w:styleId="Lgende">
    <w:name w:val="caption"/>
    <w:basedOn w:val="Normal"/>
    <w:next w:val="Normal"/>
    <w:uiPriority w:val="35"/>
    <w:unhideWhenUsed/>
    <w:qFormat/>
    <w:pPr>
      <w:spacing w:after="200"/>
    </w:pPr>
    <w:rPr>
      <w:i/>
      <w:iCs/>
      <w:color w:val="1F497D" w:themeColor="text2"/>
      <w:sz w:val="18"/>
      <w:szCs w:val="18"/>
    </w:rPr>
  </w:style>
  <w:style w:type="paragraph" w:styleId="Notedebasdepage">
    <w:name w:val="footnote text"/>
    <w:basedOn w:val="Normal"/>
    <w:link w:val="NotedebasdepageCar"/>
    <w:uiPriority w:val="99"/>
    <w:semiHidden/>
    <w:unhideWhenUsed/>
  </w:style>
  <w:style w:type="character" w:customStyle="1" w:styleId="NotedebasdepageCar">
    <w:name w:val="Note de bas de page Car"/>
    <w:basedOn w:val="Policepardfaut"/>
    <w:link w:val="Notedebasdepage"/>
    <w:uiPriority w:val="99"/>
    <w:semiHidden/>
    <w:rPr>
      <w:sz w:val="20"/>
      <w:szCs w:val="20"/>
    </w:rPr>
  </w:style>
  <w:style w:type="character" w:styleId="Appelnotedebasdep">
    <w:name w:val="footnote reference"/>
    <w:basedOn w:val="Policepardfaut"/>
    <w:uiPriority w:val="99"/>
    <w:semiHidden/>
    <w:unhideWhenUsed/>
    <w:rPr>
      <w:vertAlign w:val="superscript"/>
    </w:rPr>
  </w:style>
  <w:style w:type="paragraph" w:styleId="Notedefin">
    <w:name w:val="endnote text"/>
    <w:basedOn w:val="Normal"/>
    <w:link w:val="NotedefinCar"/>
    <w:uiPriority w:val="99"/>
    <w:semiHidden/>
    <w:unhideWhenUsed/>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
    <w:name w:val="Hyperlink"/>
    <w:rPr>
      <w:color w:val="0000FF"/>
      <w:u w:val="single"/>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M1">
    <w:name w:val="toc 1"/>
    <w:basedOn w:val="Normal"/>
    <w:next w:val="Normal"/>
    <w:uiPriority w:val="39"/>
    <w:unhideWhenUsed/>
    <w:pPr>
      <w:spacing w:after="100"/>
    </w:pPr>
  </w:style>
  <w:style w:type="paragraph" w:styleId="TM2">
    <w:name w:val="toc 2"/>
    <w:basedOn w:val="Normal"/>
    <w:next w:val="Normal"/>
    <w:uiPriority w:val="39"/>
    <w:unhideWhenUsed/>
    <w:pPr>
      <w:spacing w:after="100"/>
      <w:ind w:left="220"/>
    </w:pPr>
  </w:style>
  <w:style w:type="paragraph" w:styleId="TM3">
    <w:name w:val="toc 3"/>
    <w:basedOn w:val="Normal"/>
    <w:next w:val="Normal"/>
    <w:uiPriority w:val="39"/>
    <w:unhideWhenUsed/>
    <w:pPr>
      <w:spacing w:after="100"/>
      <w:ind w:left="440"/>
    </w:pPr>
  </w:style>
  <w:style w:type="paragraph" w:styleId="TM4">
    <w:name w:val="toc 4"/>
    <w:basedOn w:val="Normal"/>
    <w:next w:val="Normal"/>
    <w:uiPriority w:val="39"/>
    <w:unhideWhenUsed/>
    <w:pPr>
      <w:spacing w:after="100"/>
      <w:ind w:left="660"/>
    </w:pPr>
  </w:style>
  <w:style w:type="paragraph" w:styleId="TM5">
    <w:name w:val="toc 5"/>
    <w:basedOn w:val="Normal"/>
    <w:next w:val="Normal"/>
    <w:uiPriority w:val="39"/>
    <w:unhideWhenUsed/>
    <w:pPr>
      <w:spacing w:after="100"/>
      <w:ind w:left="880"/>
    </w:pPr>
  </w:style>
  <w:style w:type="paragraph" w:styleId="TM6">
    <w:name w:val="toc 6"/>
    <w:basedOn w:val="Normal"/>
    <w:next w:val="Normal"/>
    <w:uiPriority w:val="39"/>
    <w:unhideWhenUsed/>
    <w:pPr>
      <w:spacing w:after="100"/>
      <w:ind w:left="1100"/>
    </w:pPr>
  </w:style>
  <w:style w:type="paragraph" w:styleId="TM7">
    <w:name w:val="toc 7"/>
    <w:basedOn w:val="Normal"/>
    <w:next w:val="Normal"/>
    <w:uiPriority w:val="39"/>
    <w:unhideWhenUsed/>
    <w:pPr>
      <w:spacing w:after="100"/>
      <w:ind w:left="1320"/>
    </w:pPr>
  </w:style>
  <w:style w:type="paragraph" w:styleId="TM8">
    <w:name w:val="toc 8"/>
    <w:basedOn w:val="Normal"/>
    <w:next w:val="Normal"/>
    <w:uiPriority w:val="39"/>
    <w:unhideWhenUsed/>
    <w:pPr>
      <w:spacing w:after="100"/>
      <w:ind w:left="1540"/>
    </w:pPr>
  </w:style>
  <w:style w:type="paragraph" w:styleId="TM9">
    <w:name w:val="toc 9"/>
    <w:basedOn w:val="Normal"/>
    <w:next w:val="Normal"/>
    <w:uiPriority w:val="39"/>
    <w:unhideWhenUsed/>
    <w:pPr>
      <w:spacing w:after="100"/>
      <w:ind w:left="1760"/>
    </w:pPr>
  </w:style>
  <w:style w:type="character" w:styleId="Textedelespacerserv">
    <w:name w:val="Placeholder Text"/>
    <w:basedOn w:val="Policepardfaut"/>
    <w:uiPriority w:val="99"/>
    <w:semiHidden/>
    <w:rPr>
      <w:color w:val="666666"/>
    </w:rPr>
  </w:style>
  <w:style w:type="paragraph" w:styleId="En-ttedetabledesmatires">
    <w:name w:val="TOC Heading"/>
    <w:uiPriority w:val="39"/>
    <w:unhideWhenUsed/>
  </w:style>
  <w:style w:type="paragraph" w:styleId="Tabledesillustrations">
    <w:name w:val="table of figures"/>
    <w:basedOn w:val="Normal"/>
    <w:next w:val="Normal"/>
    <w:uiPriority w:val="99"/>
    <w:unhideWhenUsed/>
  </w:style>
  <w:style w:type="paragraph" w:styleId="Corpsdetexte">
    <w:name w:val="Body Text"/>
    <w:basedOn w:val="Normal"/>
    <w:pPr>
      <w:tabs>
        <w:tab w:val="left" w:pos="4536"/>
      </w:tabs>
      <w:ind w:right="-426"/>
      <w:jc w:val="both"/>
    </w:pPr>
    <w:rPr>
      <w:sz w:val="24"/>
    </w:rPr>
  </w:style>
  <w:style w:type="character" w:styleId="Numrodepage">
    <w:name w:val="page number"/>
    <w:basedOn w:val="Policepardfaut"/>
  </w:style>
  <w:style w:type="paragraph" w:styleId="Textedebulles">
    <w:name w:val="Balloon Text"/>
    <w:basedOn w:val="Normal"/>
    <w:semiHidden/>
    <w:rPr>
      <w:rFonts w:ascii="Tahoma" w:hAnsi="Tahoma" w:cs="Tahoma"/>
      <w:sz w:val="16"/>
      <w:szCs w:val="16"/>
    </w:rPr>
  </w:style>
  <w:style w:type="paragraph" w:customStyle="1" w:styleId="Normal2">
    <w:name w:val="Normal2"/>
    <w:basedOn w:val="Normal"/>
    <w:pPr>
      <w:keepLines/>
      <w:tabs>
        <w:tab w:val="left" w:pos="567"/>
        <w:tab w:val="left" w:pos="851"/>
        <w:tab w:val="left" w:pos="1134"/>
      </w:tabs>
      <w:ind w:left="284" w:firstLine="284"/>
      <w:jc w:val="both"/>
    </w:pPr>
    <w:rPr>
      <w:rFonts w:ascii="Times New Roman" w:hAnsi="Times New Roman"/>
      <w:sz w:val="22"/>
      <w:szCs w:val="22"/>
    </w:rPr>
  </w:style>
  <w:style w:type="paragraph" w:customStyle="1" w:styleId="ParagrapheIndent2">
    <w:name w:val="ParagrapheIndent2"/>
    <w:basedOn w:val="Normal"/>
    <w:next w:val="Normal"/>
    <w:qFormat/>
    <w:rsid w:val="008B5442"/>
    <w:rPr>
      <w:rFonts w:ascii="Trebuchet MS" w:eastAsia="Trebuchet MS" w:hAnsi="Trebuchet MS" w:cs="Trebuchet MS"/>
      <w:szCs w:val="24"/>
      <w:lang w:val="en-US" w:eastAsia="en-US"/>
    </w:rPr>
  </w:style>
  <w:style w:type="character" w:styleId="Mentionnonrsolue">
    <w:name w:val="Unresolved Mention"/>
    <w:basedOn w:val="Policepardfaut"/>
    <w:uiPriority w:val="99"/>
    <w:semiHidden/>
    <w:unhideWhenUsed/>
    <w:rsid w:val="008B5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thony.frison@agglo-bourgesplus.f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arches-publics.inf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arches-publics.info/fournisseurs.htm" TargetMode="External"/><Relationship Id="rId4" Type="http://schemas.openxmlformats.org/officeDocument/2006/relationships/webSettings" Target="webSettings.xml"/><Relationship Id="rId9" Type="http://schemas.openxmlformats.org/officeDocument/2006/relationships/hyperlink" Target="http://marches-publics.info" TargetMode="External"/><Relationship Id="rId14"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402</Words>
  <Characters>2215</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MDB</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giraud</dc:creator>
  <cp:lastModifiedBy>MOUILLET-CHAUDET Sandra</cp:lastModifiedBy>
  <cp:revision>10</cp:revision>
  <dcterms:created xsi:type="dcterms:W3CDTF">2026-07-30T06:54:00Z</dcterms:created>
  <dcterms:modified xsi:type="dcterms:W3CDTF">2026-10-19T14:48:00Z</dcterms:modified>
  <cp:version>1048576</cp:version>
</cp:coreProperties>
</file>